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75C" w:rsidRPr="001A20E3" w:rsidRDefault="00BE509C" w:rsidP="00475A52">
      <w:pPr>
        <w:pStyle w:val="HChG"/>
        <w:ind w:right="0" w:firstLine="0"/>
        <w:jc w:val="center"/>
        <w:rPr>
          <w:bCs/>
        </w:rPr>
      </w:pPr>
      <w:r w:rsidRPr="001A20E3">
        <w:t>Draft f</w:t>
      </w:r>
      <w:r w:rsidR="0023575C" w:rsidRPr="001A20E3">
        <w:rPr>
          <w:bCs/>
          <w:spacing w:val="-2"/>
        </w:rPr>
        <w:t xml:space="preserve">indings and </w:t>
      </w:r>
      <w:r w:rsidR="00C90CFC" w:rsidRPr="001A20E3">
        <w:rPr>
          <w:bCs/>
          <w:spacing w:val="-2"/>
        </w:rPr>
        <w:t>r</w:t>
      </w:r>
      <w:r w:rsidR="0023575C" w:rsidRPr="001A20E3">
        <w:rPr>
          <w:bCs/>
          <w:spacing w:val="-2"/>
        </w:rPr>
        <w:t xml:space="preserve">ecommendations with regard to </w:t>
      </w:r>
      <w:r w:rsidR="00C90CFC" w:rsidRPr="001A20E3">
        <w:rPr>
          <w:bCs/>
          <w:spacing w:val="-2"/>
        </w:rPr>
        <w:t>c</w:t>
      </w:r>
      <w:r w:rsidR="0023575C" w:rsidRPr="001A20E3">
        <w:rPr>
          <w:bCs/>
          <w:spacing w:val="-2"/>
        </w:rPr>
        <w:t>ommunication</w:t>
      </w:r>
      <w:r w:rsidR="0023575C" w:rsidRPr="001A20E3">
        <w:rPr>
          <w:bCs/>
        </w:rPr>
        <w:t xml:space="preserve"> </w:t>
      </w:r>
      <w:r w:rsidR="00683167" w:rsidRPr="001A20E3">
        <w:rPr>
          <w:bCs/>
        </w:rPr>
        <w:t>ACCC/C/201</w:t>
      </w:r>
      <w:r w:rsidR="00FD1C2F" w:rsidRPr="001A20E3">
        <w:rPr>
          <w:bCs/>
        </w:rPr>
        <w:t>4</w:t>
      </w:r>
      <w:r w:rsidR="000D759F" w:rsidRPr="001A20E3">
        <w:rPr>
          <w:bCs/>
        </w:rPr>
        <w:t>/</w:t>
      </w:r>
      <w:r w:rsidR="00FD1C2F" w:rsidRPr="001A20E3">
        <w:rPr>
          <w:bCs/>
        </w:rPr>
        <w:t xml:space="preserve">104 </w:t>
      </w:r>
      <w:r w:rsidR="0023575C" w:rsidRPr="001A20E3">
        <w:rPr>
          <w:bCs/>
        </w:rPr>
        <w:t xml:space="preserve">concerning compliance by </w:t>
      </w:r>
      <w:r w:rsidR="00FD1C2F" w:rsidRPr="001A20E3">
        <w:rPr>
          <w:bCs/>
        </w:rPr>
        <w:t>Netherlands</w:t>
      </w:r>
    </w:p>
    <w:p w:rsidR="009E5900" w:rsidRPr="001A20E3" w:rsidRDefault="009E5900" w:rsidP="00475A52">
      <w:pPr>
        <w:pStyle w:val="H1G"/>
        <w:ind w:right="0"/>
        <w:jc w:val="center"/>
      </w:pPr>
      <w:r w:rsidRPr="001A20E3">
        <w:t xml:space="preserve">Adopted by the Compliance Committee on </w:t>
      </w:r>
      <w:r w:rsidR="0013259A" w:rsidRPr="001A20E3">
        <w:t>…</w:t>
      </w:r>
    </w:p>
    <w:p w:rsidR="0023575C" w:rsidRPr="001A20E3" w:rsidRDefault="00D971FB" w:rsidP="005472EB">
      <w:pPr>
        <w:pStyle w:val="HChG"/>
        <w:numPr>
          <w:ilvl w:val="0"/>
          <w:numId w:val="6"/>
        </w:numPr>
        <w:ind w:right="0"/>
      </w:pPr>
      <w:r w:rsidRPr="001A20E3">
        <w:t>Introduction</w:t>
      </w:r>
    </w:p>
    <w:p w:rsidR="00FD1C2F" w:rsidRPr="00695D7A" w:rsidRDefault="00FD1C2F" w:rsidP="000E5178">
      <w:pPr>
        <w:pStyle w:val="SingleTxtG"/>
        <w:numPr>
          <w:ilvl w:val="0"/>
          <w:numId w:val="3"/>
        </w:numPr>
        <w:ind w:left="1100" w:right="0" w:firstLine="0"/>
        <w:rPr>
          <w:lang w:val="en-GB"/>
        </w:rPr>
      </w:pPr>
      <w:r w:rsidRPr="00695D7A">
        <w:rPr>
          <w:lang w:val="en-GB"/>
        </w:rPr>
        <w:t xml:space="preserve">On 6 May 2014, Stichting Greenpeace Netherlands (the communicant) submitted a communication to the Committee alleging </w:t>
      </w:r>
      <w:r w:rsidR="00E62030" w:rsidRPr="00695D7A">
        <w:rPr>
          <w:lang w:val="en-GB"/>
        </w:rPr>
        <w:t xml:space="preserve">a </w:t>
      </w:r>
      <w:r w:rsidRPr="00695D7A">
        <w:rPr>
          <w:lang w:val="en-GB"/>
        </w:rPr>
        <w:t xml:space="preserve">failure by </w:t>
      </w:r>
      <w:r w:rsidR="00E62030" w:rsidRPr="00695D7A">
        <w:rPr>
          <w:lang w:val="en-GB"/>
        </w:rPr>
        <w:t xml:space="preserve">the </w:t>
      </w:r>
      <w:r w:rsidRPr="00695D7A">
        <w:rPr>
          <w:lang w:val="en-GB"/>
        </w:rPr>
        <w:t>Netherlands</w:t>
      </w:r>
      <w:r w:rsidR="00436A97" w:rsidRPr="00695D7A">
        <w:rPr>
          <w:lang w:val="en-GB"/>
        </w:rPr>
        <w:t xml:space="preserve"> (the Party concerned)</w:t>
      </w:r>
      <w:r w:rsidRPr="00695D7A">
        <w:rPr>
          <w:lang w:val="en-GB"/>
        </w:rPr>
        <w:t xml:space="preserve"> to comply with its obligations under </w:t>
      </w:r>
      <w:r w:rsidR="00816F95" w:rsidRPr="00695D7A">
        <w:rPr>
          <w:lang w:val="en-GB"/>
        </w:rPr>
        <w:t>article 6</w:t>
      </w:r>
      <w:r w:rsidRPr="00695D7A">
        <w:rPr>
          <w:lang w:val="en-GB"/>
        </w:rPr>
        <w:t xml:space="preserve"> of the Convention on Access to Information, Public Participation in Decision-making and Access to Justice in Environmental Matters (Aarhus Convention) in relation to </w:t>
      </w:r>
      <w:r w:rsidR="00816F95" w:rsidRPr="00695D7A">
        <w:rPr>
          <w:lang w:val="en-GB"/>
        </w:rPr>
        <w:t xml:space="preserve">the </w:t>
      </w:r>
      <w:r w:rsidR="006D2C44" w:rsidRPr="00695D7A">
        <w:rPr>
          <w:lang w:val="en-GB"/>
        </w:rPr>
        <w:t xml:space="preserve">design </w:t>
      </w:r>
      <w:r w:rsidR="00816F95" w:rsidRPr="00695D7A">
        <w:rPr>
          <w:lang w:val="en-GB"/>
        </w:rPr>
        <w:t>lifetime</w:t>
      </w:r>
      <w:r w:rsidRPr="00695D7A">
        <w:rPr>
          <w:lang w:val="en-GB"/>
        </w:rPr>
        <w:t xml:space="preserve"> extension of the Borssele Nuclear Power </w:t>
      </w:r>
      <w:r w:rsidRPr="00695D7A">
        <w:rPr>
          <w:lang w:val="en-US"/>
        </w:rPr>
        <w:t>Plant (</w:t>
      </w:r>
      <w:r w:rsidR="000E5178" w:rsidRPr="00695D7A">
        <w:rPr>
          <w:lang w:val="en-US"/>
        </w:rPr>
        <w:t>Borssele NPP</w:t>
      </w:r>
      <w:r w:rsidRPr="00695D7A">
        <w:rPr>
          <w:lang w:val="en-US"/>
        </w:rPr>
        <w:t>).</w:t>
      </w:r>
    </w:p>
    <w:p w:rsidR="008C4E0A" w:rsidRPr="00695D7A" w:rsidRDefault="00D60D6D" w:rsidP="0064478E">
      <w:pPr>
        <w:pStyle w:val="SingleTxtG"/>
        <w:numPr>
          <w:ilvl w:val="0"/>
          <w:numId w:val="3"/>
        </w:numPr>
        <w:ind w:left="1100" w:right="0" w:firstLine="0"/>
        <w:rPr>
          <w:lang w:val="en-GB"/>
        </w:rPr>
      </w:pPr>
      <w:r>
        <w:rPr>
          <w:lang w:val="en-GB"/>
        </w:rPr>
        <w:t>More s</w:t>
      </w:r>
      <w:r w:rsidR="00EE4F3D" w:rsidRPr="00695D7A">
        <w:rPr>
          <w:lang w:val="en-GB"/>
        </w:rPr>
        <w:t>pecific</w:t>
      </w:r>
      <w:r w:rsidR="008806E8" w:rsidRPr="00695D7A">
        <w:rPr>
          <w:lang w:val="en-GB"/>
        </w:rPr>
        <w:t xml:space="preserve">ally, </w:t>
      </w:r>
      <w:r w:rsidR="00D80AAE" w:rsidRPr="00695D7A">
        <w:rPr>
          <w:lang w:val="en-GB"/>
        </w:rPr>
        <w:t xml:space="preserve">the communicant </w:t>
      </w:r>
      <w:r w:rsidR="00E62030" w:rsidRPr="00695D7A">
        <w:rPr>
          <w:lang w:val="en-GB"/>
        </w:rPr>
        <w:t xml:space="preserve">alleges </w:t>
      </w:r>
      <w:r w:rsidR="00FD1C2F" w:rsidRPr="00695D7A">
        <w:rPr>
          <w:lang w:val="en-GB"/>
        </w:rPr>
        <w:t xml:space="preserve">that the </w:t>
      </w:r>
      <w:r w:rsidR="009C26FC" w:rsidRPr="00695D7A">
        <w:rPr>
          <w:lang w:val="en-GB"/>
        </w:rPr>
        <w:t>Party concerned</w:t>
      </w:r>
      <w:r w:rsidR="003C2650" w:rsidRPr="00695D7A">
        <w:rPr>
          <w:lang w:val="en-GB"/>
        </w:rPr>
        <w:t xml:space="preserve"> failed to provide for public participation </w:t>
      </w:r>
      <w:r w:rsidR="00604F3A" w:rsidRPr="00695D7A">
        <w:rPr>
          <w:lang w:val="en-GB"/>
        </w:rPr>
        <w:t>to the extent required by</w:t>
      </w:r>
      <w:r w:rsidR="003C2650" w:rsidRPr="00695D7A">
        <w:rPr>
          <w:lang w:val="en-GB"/>
        </w:rPr>
        <w:t xml:space="preserve"> article 6 prior to its decision</w:t>
      </w:r>
      <w:r w:rsidR="009C26FC" w:rsidRPr="00695D7A">
        <w:rPr>
          <w:lang w:val="en-GB"/>
        </w:rPr>
        <w:t xml:space="preserve"> </w:t>
      </w:r>
      <w:r w:rsidR="00FD1C2F" w:rsidRPr="00695D7A">
        <w:rPr>
          <w:lang w:val="en-GB"/>
        </w:rPr>
        <w:t xml:space="preserve">to </w:t>
      </w:r>
      <w:r w:rsidR="00816F95" w:rsidRPr="00695D7A">
        <w:rPr>
          <w:lang w:val="en-GB"/>
        </w:rPr>
        <w:t xml:space="preserve">extend the </w:t>
      </w:r>
      <w:r w:rsidR="00FD1C2F" w:rsidRPr="00695D7A">
        <w:rPr>
          <w:lang w:val="en-GB"/>
        </w:rPr>
        <w:t>period of operation of the B</w:t>
      </w:r>
      <w:r w:rsidR="009C26FC" w:rsidRPr="00695D7A">
        <w:rPr>
          <w:lang w:val="en-GB"/>
        </w:rPr>
        <w:t xml:space="preserve">orssele </w:t>
      </w:r>
      <w:r w:rsidR="00FD1C2F" w:rsidRPr="00695D7A">
        <w:rPr>
          <w:lang w:val="en-US"/>
        </w:rPr>
        <w:t xml:space="preserve">NPP </w:t>
      </w:r>
      <w:r w:rsidR="00FD1C2F" w:rsidRPr="00695D7A">
        <w:rPr>
          <w:lang w:val="en-GB"/>
        </w:rPr>
        <w:t>until 31 December 2033</w:t>
      </w:r>
      <w:r w:rsidR="00604F3A" w:rsidRPr="00695D7A">
        <w:rPr>
          <w:lang w:val="en-GB"/>
        </w:rPr>
        <w:t>.</w:t>
      </w:r>
      <w:r w:rsidR="0064478E" w:rsidRPr="00695D7A">
        <w:rPr>
          <w:lang w:val="en-GB"/>
        </w:rPr>
        <w:t xml:space="preserve"> </w:t>
      </w:r>
    </w:p>
    <w:p w:rsidR="00841A60" w:rsidRPr="00695D7A" w:rsidRDefault="00841A60" w:rsidP="0064478E">
      <w:pPr>
        <w:pStyle w:val="SingleTxtG"/>
        <w:numPr>
          <w:ilvl w:val="0"/>
          <w:numId w:val="3"/>
        </w:numPr>
        <w:ind w:left="1100" w:right="0" w:firstLine="0"/>
        <w:rPr>
          <w:lang w:val="en-GB"/>
        </w:rPr>
      </w:pPr>
      <w:r w:rsidRPr="00695D7A">
        <w:rPr>
          <w:lang w:val="en-GB"/>
        </w:rPr>
        <w:t xml:space="preserve">At its </w:t>
      </w:r>
      <w:r w:rsidR="0064478E" w:rsidRPr="00695D7A">
        <w:rPr>
          <w:lang w:val="en-GB"/>
        </w:rPr>
        <w:t>forty-fifth</w:t>
      </w:r>
      <w:r w:rsidRPr="00695D7A">
        <w:rPr>
          <w:lang w:val="en-GB"/>
        </w:rPr>
        <w:t xml:space="preserve"> meeting (</w:t>
      </w:r>
      <w:r w:rsidR="0064478E" w:rsidRPr="00695D7A">
        <w:rPr>
          <w:lang w:val="en-GB"/>
        </w:rPr>
        <w:t>29 June</w:t>
      </w:r>
      <w:r w:rsidR="00604F3A" w:rsidRPr="00695D7A">
        <w:rPr>
          <w:lang w:val="en-GB"/>
        </w:rPr>
        <w:t>—</w:t>
      </w:r>
      <w:r w:rsidR="0064478E" w:rsidRPr="00695D7A">
        <w:rPr>
          <w:lang w:val="en-GB"/>
        </w:rPr>
        <w:t>2 July 2014</w:t>
      </w:r>
      <w:r w:rsidRPr="00695D7A">
        <w:rPr>
          <w:lang w:val="en-GB"/>
        </w:rPr>
        <w:t>), the Committee determined on a preliminary basis that the communication was admissible.</w:t>
      </w:r>
    </w:p>
    <w:p w:rsidR="00301DC8" w:rsidRPr="00695D7A" w:rsidRDefault="00A9197D" w:rsidP="005472EB">
      <w:pPr>
        <w:pStyle w:val="SingleTxtG"/>
        <w:numPr>
          <w:ilvl w:val="0"/>
          <w:numId w:val="3"/>
        </w:numPr>
        <w:ind w:left="1100" w:right="0" w:firstLine="0"/>
        <w:rPr>
          <w:lang w:val="en-GB"/>
        </w:rPr>
      </w:pPr>
      <w:r w:rsidRPr="00695D7A">
        <w:rPr>
          <w:lang w:val="en-GB"/>
        </w:rPr>
        <w:t xml:space="preserve">Pursuant to paragraph 22 of the annex to decision I/7 of the Meeting of the Parties to the Convention, the communication was forwarded to the Party concerned on </w:t>
      </w:r>
      <w:r w:rsidR="00B93CF5" w:rsidRPr="00695D7A">
        <w:rPr>
          <w:lang w:val="en-GB"/>
        </w:rPr>
        <w:t xml:space="preserve">3 </w:t>
      </w:r>
      <w:r w:rsidR="0064478E" w:rsidRPr="00695D7A">
        <w:rPr>
          <w:lang w:val="en-GB"/>
        </w:rPr>
        <w:t xml:space="preserve">September </w:t>
      </w:r>
      <w:r w:rsidR="00875B84" w:rsidRPr="00695D7A">
        <w:rPr>
          <w:lang w:val="en-GB"/>
        </w:rPr>
        <w:t>201</w:t>
      </w:r>
      <w:r w:rsidR="0064478E" w:rsidRPr="00695D7A">
        <w:rPr>
          <w:lang w:val="en-GB"/>
        </w:rPr>
        <w:t>4</w:t>
      </w:r>
      <w:r w:rsidR="00841A60" w:rsidRPr="00695D7A">
        <w:rPr>
          <w:lang w:val="en-GB"/>
        </w:rPr>
        <w:t>.</w:t>
      </w:r>
      <w:r w:rsidR="00604F3A" w:rsidRPr="00695D7A">
        <w:rPr>
          <w:lang w:val="en-GB"/>
        </w:rPr>
        <w:t xml:space="preserve"> On the same day, the Committee sent questions to the communicant seeking further information.</w:t>
      </w:r>
    </w:p>
    <w:p w:rsidR="00604F3A" w:rsidRPr="00695D7A" w:rsidRDefault="00604F3A" w:rsidP="005472EB">
      <w:pPr>
        <w:pStyle w:val="SingleTxtG"/>
        <w:numPr>
          <w:ilvl w:val="0"/>
          <w:numId w:val="3"/>
        </w:numPr>
        <w:ind w:left="1100" w:right="0" w:firstLine="0"/>
        <w:rPr>
          <w:lang w:val="en-GB"/>
        </w:rPr>
      </w:pPr>
      <w:r w:rsidRPr="00695D7A">
        <w:rPr>
          <w:lang w:val="en-GB"/>
        </w:rPr>
        <w:t>On 19 September 2014, the communicant provided answers to the Committee’s questions.</w:t>
      </w:r>
    </w:p>
    <w:p w:rsidR="00760761" w:rsidRPr="00695D7A" w:rsidRDefault="00604F3A" w:rsidP="005472EB">
      <w:pPr>
        <w:pStyle w:val="SingleTxtG"/>
        <w:numPr>
          <w:ilvl w:val="0"/>
          <w:numId w:val="3"/>
        </w:numPr>
        <w:ind w:left="1100" w:right="0" w:firstLine="0"/>
        <w:rPr>
          <w:lang w:val="en-GB"/>
        </w:rPr>
      </w:pPr>
      <w:r w:rsidRPr="00695D7A">
        <w:rPr>
          <w:lang w:val="en-GB"/>
        </w:rPr>
        <w:t>On 3 February 2015, t</w:t>
      </w:r>
      <w:r w:rsidR="00D81BC0" w:rsidRPr="00695D7A">
        <w:rPr>
          <w:lang w:val="en-GB"/>
        </w:rPr>
        <w:t xml:space="preserve">he Party concerned </w:t>
      </w:r>
      <w:r w:rsidRPr="00695D7A">
        <w:rPr>
          <w:lang w:val="en-GB"/>
        </w:rPr>
        <w:t xml:space="preserve">provided its response </w:t>
      </w:r>
      <w:r w:rsidR="00F856C8" w:rsidRPr="00695D7A">
        <w:rPr>
          <w:lang w:val="en-GB"/>
        </w:rPr>
        <w:t xml:space="preserve">to the </w:t>
      </w:r>
      <w:r w:rsidR="003E481A" w:rsidRPr="00695D7A">
        <w:rPr>
          <w:lang w:val="en-GB"/>
        </w:rPr>
        <w:t>communication</w:t>
      </w:r>
      <w:r w:rsidR="008806E8" w:rsidRPr="00695D7A">
        <w:rPr>
          <w:lang w:val="en-GB"/>
        </w:rPr>
        <w:t>.</w:t>
      </w:r>
    </w:p>
    <w:p w:rsidR="00611587" w:rsidRPr="00695D7A" w:rsidRDefault="00604F3A" w:rsidP="00611587">
      <w:pPr>
        <w:pStyle w:val="SingleTxtG"/>
        <w:numPr>
          <w:ilvl w:val="0"/>
          <w:numId w:val="3"/>
        </w:numPr>
        <w:ind w:left="1100" w:right="0" w:firstLine="0"/>
        <w:rPr>
          <w:lang w:val="en-GB"/>
        </w:rPr>
      </w:pPr>
      <w:r w:rsidRPr="00695D7A">
        <w:rPr>
          <w:lang w:val="en-GB"/>
        </w:rPr>
        <w:t>On 17 March 2015, t</w:t>
      </w:r>
      <w:r w:rsidR="00611587" w:rsidRPr="00695D7A">
        <w:rPr>
          <w:lang w:val="en-GB"/>
        </w:rPr>
        <w:t>he communicant provide</w:t>
      </w:r>
      <w:r w:rsidRPr="00695D7A">
        <w:rPr>
          <w:lang w:val="en-GB"/>
        </w:rPr>
        <w:t>d</w:t>
      </w:r>
      <w:r w:rsidR="00611587" w:rsidRPr="00695D7A">
        <w:rPr>
          <w:lang w:val="en-GB"/>
        </w:rPr>
        <w:t xml:space="preserve"> comments on the response</w:t>
      </w:r>
      <w:r w:rsidRPr="00695D7A">
        <w:rPr>
          <w:lang w:val="en-GB"/>
        </w:rPr>
        <w:t xml:space="preserve"> of the Party concerned</w:t>
      </w:r>
      <w:r w:rsidR="00611587" w:rsidRPr="00695D7A">
        <w:rPr>
          <w:lang w:val="en-GB"/>
        </w:rPr>
        <w:t>.</w:t>
      </w:r>
    </w:p>
    <w:p w:rsidR="00E4207A" w:rsidRPr="00695D7A" w:rsidRDefault="00841A60" w:rsidP="00611587">
      <w:pPr>
        <w:pStyle w:val="SingleTxtG"/>
        <w:numPr>
          <w:ilvl w:val="0"/>
          <w:numId w:val="3"/>
        </w:numPr>
        <w:ind w:left="1100" w:right="0" w:firstLine="0"/>
        <w:rPr>
          <w:lang w:val="en-GB"/>
        </w:rPr>
      </w:pPr>
      <w:r w:rsidRPr="00695D7A">
        <w:rPr>
          <w:lang w:val="en-GB"/>
        </w:rPr>
        <w:t xml:space="preserve">The </w:t>
      </w:r>
      <w:r w:rsidR="00E4207A" w:rsidRPr="00695D7A">
        <w:rPr>
          <w:lang w:val="en-GB"/>
        </w:rPr>
        <w:t xml:space="preserve">Committee </w:t>
      </w:r>
      <w:r w:rsidR="003E481A" w:rsidRPr="00695D7A">
        <w:rPr>
          <w:lang w:val="en-GB"/>
        </w:rPr>
        <w:t xml:space="preserve">held a hearing to discuss the substance of </w:t>
      </w:r>
      <w:r w:rsidR="00E4207A" w:rsidRPr="00695D7A">
        <w:rPr>
          <w:lang w:val="en-GB"/>
        </w:rPr>
        <w:t xml:space="preserve">the communication at its </w:t>
      </w:r>
      <w:r w:rsidR="00816F95" w:rsidRPr="00695D7A">
        <w:rPr>
          <w:lang w:val="en-GB"/>
        </w:rPr>
        <w:t xml:space="preserve">fiftieth </w:t>
      </w:r>
      <w:r w:rsidR="00E4207A" w:rsidRPr="00695D7A">
        <w:rPr>
          <w:lang w:val="en-GB"/>
        </w:rPr>
        <w:t>meeting</w:t>
      </w:r>
      <w:r w:rsidR="003E481A" w:rsidRPr="00695D7A">
        <w:rPr>
          <w:lang w:val="en-GB"/>
        </w:rPr>
        <w:t xml:space="preserve"> (Geneva, 6—9 October 2015)</w:t>
      </w:r>
      <w:r w:rsidR="00E4207A" w:rsidRPr="00695D7A">
        <w:rPr>
          <w:lang w:val="en-GB"/>
        </w:rPr>
        <w:t xml:space="preserve">, with the participation of representatives of the communicant and the Party concerned. At the same meeting, the Committee confirmed the admissibility of the communication. During the discussion, the Committee put a number of questions to the Party concerned and invited </w:t>
      </w:r>
      <w:r w:rsidR="00072900">
        <w:rPr>
          <w:lang w:val="en-GB"/>
        </w:rPr>
        <w:t>it</w:t>
      </w:r>
      <w:r w:rsidR="00072900" w:rsidRPr="00695D7A">
        <w:rPr>
          <w:lang w:val="en-GB"/>
        </w:rPr>
        <w:t xml:space="preserve"> </w:t>
      </w:r>
      <w:r w:rsidR="00E4207A" w:rsidRPr="00695D7A">
        <w:rPr>
          <w:lang w:val="en-GB"/>
        </w:rPr>
        <w:t>to respond in writing after the meeting.</w:t>
      </w:r>
    </w:p>
    <w:p w:rsidR="00604F3A" w:rsidRPr="00695D7A" w:rsidRDefault="00A734E7" w:rsidP="00611587">
      <w:pPr>
        <w:pStyle w:val="SingleTxtG"/>
        <w:numPr>
          <w:ilvl w:val="0"/>
          <w:numId w:val="3"/>
        </w:numPr>
        <w:ind w:left="1100" w:right="0" w:firstLine="0"/>
        <w:rPr>
          <w:lang w:val="en-GB"/>
        </w:rPr>
      </w:pPr>
      <w:r w:rsidRPr="00695D7A">
        <w:rPr>
          <w:lang w:val="en-GB"/>
        </w:rPr>
        <w:t>On 8 October and 13 November 2015, t</w:t>
      </w:r>
      <w:r w:rsidR="00604F3A" w:rsidRPr="00695D7A">
        <w:rPr>
          <w:lang w:val="en-GB"/>
        </w:rPr>
        <w:t xml:space="preserve">he Party concerned provided </w:t>
      </w:r>
      <w:r w:rsidR="003E481A" w:rsidRPr="00695D7A">
        <w:rPr>
          <w:lang w:val="en-GB"/>
        </w:rPr>
        <w:t>additional information</w:t>
      </w:r>
      <w:r w:rsidR="00604F3A" w:rsidRPr="00695D7A">
        <w:rPr>
          <w:lang w:val="en-GB"/>
        </w:rPr>
        <w:t xml:space="preserve"> and </w:t>
      </w:r>
      <w:r w:rsidR="003E481A" w:rsidRPr="00695D7A">
        <w:rPr>
          <w:lang w:val="en-GB"/>
        </w:rPr>
        <w:t xml:space="preserve">its </w:t>
      </w:r>
      <w:r w:rsidR="00604F3A" w:rsidRPr="00695D7A">
        <w:rPr>
          <w:lang w:val="en-GB"/>
        </w:rPr>
        <w:t xml:space="preserve">replies to </w:t>
      </w:r>
      <w:r w:rsidR="003E481A" w:rsidRPr="00695D7A">
        <w:rPr>
          <w:lang w:val="en-GB"/>
        </w:rPr>
        <w:t xml:space="preserve">the </w:t>
      </w:r>
      <w:r w:rsidR="00604F3A" w:rsidRPr="00695D7A">
        <w:rPr>
          <w:lang w:val="en-GB"/>
        </w:rPr>
        <w:t xml:space="preserve">questions </w:t>
      </w:r>
      <w:r w:rsidR="00562C2B" w:rsidRPr="00695D7A">
        <w:rPr>
          <w:lang w:val="en-GB"/>
        </w:rPr>
        <w:t>posed</w:t>
      </w:r>
      <w:r w:rsidR="00604F3A" w:rsidRPr="00695D7A">
        <w:rPr>
          <w:lang w:val="en-GB"/>
        </w:rPr>
        <w:t xml:space="preserve"> </w:t>
      </w:r>
      <w:r w:rsidR="003E481A" w:rsidRPr="00695D7A">
        <w:rPr>
          <w:lang w:val="en-GB"/>
        </w:rPr>
        <w:t xml:space="preserve">by the Committee </w:t>
      </w:r>
      <w:r w:rsidR="00604F3A" w:rsidRPr="00695D7A">
        <w:rPr>
          <w:lang w:val="en-GB"/>
        </w:rPr>
        <w:t>during the hearing.</w:t>
      </w:r>
    </w:p>
    <w:p w:rsidR="00604F3A" w:rsidRPr="00695D7A" w:rsidRDefault="00604F3A" w:rsidP="00E62030">
      <w:pPr>
        <w:pStyle w:val="SingleTxtG"/>
        <w:numPr>
          <w:ilvl w:val="0"/>
          <w:numId w:val="3"/>
        </w:numPr>
        <w:ind w:left="1100" w:right="0" w:firstLine="0"/>
        <w:rPr>
          <w:lang w:val="en-GB"/>
        </w:rPr>
      </w:pPr>
      <w:r w:rsidRPr="00695D7A">
        <w:rPr>
          <w:lang w:val="en-GB"/>
        </w:rPr>
        <w:t>On 20 January 2016, the communicant provided comments on the</w:t>
      </w:r>
      <w:r w:rsidR="00562C2B" w:rsidRPr="00695D7A">
        <w:rPr>
          <w:lang w:val="en-GB"/>
        </w:rPr>
        <w:t xml:space="preserve"> further</w:t>
      </w:r>
      <w:r w:rsidRPr="00695D7A">
        <w:rPr>
          <w:lang w:val="en-GB"/>
        </w:rPr>
        <w:t xml:space="preserve"> information provided by the Party concerned</w:t>
      </w:r>
      <w:r w:rsidR="00881E56" w:rsidRPr="00695D7A">
        <w:rPr>
          <w:lang w:val="en-GB"/>
        </w:rPr>
        <w:t>. O</w:t>
      </w:r>
      <w:r w:rsidRPr="00695D7A">
        <w:rPr>
          <w:lang w:val="en-GB"/>
        </w:rPr>
        <w:t xml:space="preserve">n 19 February 2016 the Party concerned </w:t>
      </w:r>
      <w:r w:rsidR="00A734E7" w:rsidRPr="00695D7A">
        <w:rPr>
          <w:lang w:val="en-GB"/>
        </w:rPr>
        <w:t>provided comments</w:t>
      </w:r>
      <w:r w:rsidRPr="00695D7A">
        <w:rPr>
          <w:lang w:val="en-GB"/>
        </w:rPr>
        <w:t xml:space="preserve"> on the communicant’s comments.</w:t>
      </w:r>
    </w:p>
    <w:p w:rsidR="00C0385B" w:rsidRDefault="00604F3A" w:rsidP="00611587">
      <w:pPr>
        <w:pStyle w:val="SingleTxtG"/>
        <w:numPr>
          <w:ilvl w:val="0"/>
          <w:numId w:val="3"/>
        </w:numPr>
        <w:ind w:left="1100" w:right="0" w:firstLine="0"/>
        <w:rPr>
          <w:lang w:val="en-GB"/>
        </w:rPr>
      </w:pPr>
      <w:r w:rsidRPr="00695D7A">
        <w:rPr>
          <w:lang w:val="en-GB"/>
        </w:rPr>
        <w:t>On 3 March 2017, the Committee sent further questions to the Party concerned. On 16 March 2017, the Party concerned provided its replies to the questions</w:t>
      </w:r>
      <w:r w:rsidR="00C0385B">
        <w:rPr>
          <w:lang w:val="en-GB"/>
        </w:rPr>
        <w:t>.</w:t>
      </w:r>
    </w:p>
    <w:p w:rsidR="00C0385B" w:rsidRDefault="00C0385B" w:rsidP="00611587">
      <w:pPr>
        <w:pStyle w:val="SingleTxtG"/>
        <w:numPr>
          <w:ilvl w:val="0"/>
          <w:numId w:val="3"/>
        </w:numPr>
        <w:ind w:left="1100" w:right="0" w:firstLine="0"/>
        <w:rPr>
          <w:lang w:val="en-GB"/>
        </w:rPr>
      </w:pPr>
      <w:r>
        <w:rPr>
          <w:lang w:val="en-GB"/>
        </w:rPr>
        <w:t>On 29 March 2017, the Committee sen</w:t>
      </w:r>
      <w:r w:rsidR="00CB5F4A">
        <w:rPr>
          <w:lang w:val="en-GB"/>
        </w:rPr>
        <w:t>t</w:t>
      </w:r>
      <w:r>
        <w:rPr>
          <w:lang w:val="en-GB"/>
        </w:rPr>
        <w:t xml:space="preserve"> a request</w:t>
      </w:r>
      <w:r w:rsidR="001973AF">
        <w:rPr>
          <w:lang w:val="en-GB"/>
        </w:rPr>
        <w:t xml:space="preserve"> to the Party concerned to clarify an aspect of its reply of 16 March 2017 </w:t>
      </w:r>
      <w:r w:rsidR="00604F3A" w:rsidRPr="00695D7A">
        <w:rPr>
          <w:lang w:val="en-GB"/>
        </w:rPr>
        <w:t xml:space="preserve">and on </w:t>
      </w:r>
      <w:r>
        <w:rPr>
          <w:lang w:val="en-GB"/>
        </w:rPr>
        <w:t xml:space="preserve">6 April 2017, the Party concerned provided its </w:t>
      </w:r>
      <w:r w:rsidR="001973AF">
        <w:rPr>
          <w:lang w:val="en-GB"/>
        </w:rPr>
        <w:t>reply</w:t>
      </w:r>
      <w:r>
        <w:rPr>
          <w:lang w:val="en-GB"/>
        </w:rPr>
        <w:t xml:space="preserve"> thereon.</w:t>
      </w:r>
    </w:p>
    <w:p w:rsidR="00604F3A" w:rsidRPr="00695D7A" w:rsidRDefault="00C0385B" w:rsidP="00611587">
      <w:pPr>
        <w:pStyle w:val="SingleTxtG"/>
        <w:numPr>
          <w:ilvl w:val="0"/>
          <w:numId w:val="3"/>
        </w:numPr>
        <w:ind w:left="1100" w:right="0" w:firstLine="0"/>
        <w:rPr>
          <w:lang w:val="en-GB"/>
        </w:rPr>
      </w:pPr>
      <w:r>
        <w:rPr>
          <w:lang w:val="en-GB"/>
        </w:rPr>
        <w:lastRenderedPageBreak/>
        <w:t xml:space="preserve">On </w:t>
      </w:r>
      <w:r w:rsidR="00604F3A" w:rsidRPr="00695D7A">
        <w:rPr>
          <w:lang w:val="en-GB"/>
        </w:rPr>
        <w:t>11 April 2017</w:t>
      </w:r>
      <w:r>
        <w:rPr>
          <w:lang w:val="en-GB"/>
        </w:rPr>
        <w:t>,</w:t>
      </w:r>
      <w:r w:rsidR="00604F3A" w:rsidRPr="00695D7A">
        <w:rPr>
          <w:lang w:val="en-GB"/>
        </w:rPr>
        <w:t xml:space="preserve"> the communicant provided comments</w:t>
      </w:r>
      <w:r>
        <w:rPr>
          <w:lang w:val="en-GB"/>
        </w:rPr>
        <w:t xml:space="preserve"> on the replies </w:t>
      </w:r>
      <w:r w:rsidR="001973AF">
        <w:rPr>
          <w:lang w:val="en-GB"/>
        </w:rPr>
        <w:t>by</w:t>
      </w:r>
      <w:r>
        <w:rPr>
          <w:lang w:val="en-GB"/>
        </w:rPr>
        <w:t xml:space="preserve"> the Party concerned</w:t>
      </w:r>
      <w:r w:rsidR="001973AF">
        <w:rPr>
          <w:lang w:val="en-GB"/>
        </w:rPr>
        <w:t xml:space="preserve"> to the Committee’s questions</w:t>
      </w:r>
      <w:r w:rsidR="00604F3A" w:rsidRPr="00695D7A">
        <w:rPr>
          <w:lang w:val="en-GB"/>
        </w:rPr>
        <w:t>.</w:t>
      </w:r>
    </w:p>
    <w:p w:rsidR="00E4207A" w:rsidRPr="006613D3" w:rsidRDefault="00E4207A" w:rsidP="0056000C">
      <w:pPr>
        <w:pStyle w:val="SingleTxtG"/>
        <w:numPr>
          <w:ilvl w:val="0"/>
          <w:numId w:val="3"/>
        </w:numPr>
        <w:ind w:left="1100" w:right="0" w:firstLine="0"/>
        <w:rPr>
          <w:lang w:val="en-GB"/>
        </w:rPr>
      </w:pPr>
      <w:r w:rsidRPr="006613D3">
        <w:rPr>
          <w:lang w:val="en-GB"/>
        </w:rPr>
        <w:t xml:space="preserve">The Committee </w:t>
      </w:r>
      <w:r w:rsidR="003E481A" w:rsidRPr="006613D3">
        <w:rPr>
          <w:lang w:val="en-GB"/>
        </w:rPr>
        <w:t xml:space="preserve">completed its </w:t>
      </w:r>
      <w:r w:rsidRPr="006613D3">
        <w:rPr>
          <w:lang w:val="en-GB"/>
        </w:rPr>
        <w:t xml:space="preserve">draft findings </w:t>
      </w:r>
      <w:r w:rsidR="00C1401F" w:rsidRPr="00962E70">
        <w:rPr>
          <w:iCs/>
          <w:lang w:val="en-GB"/>
        </w:rPr>
        <w:t xml:space="preserve">through its electronic decision-making procedure on </w:t>
      </w:r>
      <w:r w:rsidR="0056000C">
        <w:rPr>
          <w:iCs/>
          <w:lang w:val="en-GB"/>
        </w:rPr>
        <w:t>25 May 2018.</w:t>
      </w:r>
      <w:r w:rsidRPr="006613D3">
        <w:rPr>
          <w:lang w:val="en-GB"/>
        </w:rPr>
        <w:t xml:space="preserve"> In accordance with paragraph 34 of the annex to decision I/7, the draft findings were </w:t>
      </w:r>
      <w:r w:rsidR="0056000C">
        <w:rPr>
          <w:lang w:val="en-GB"/>
        </w:rPr>
        <w:t xml:space="preserve">then </w:t>
      </w:r>
      <w:r w:rsidRPr="006613D3">
        <w:rPr>
          <w:lang w:val="en-GB"/>
        </w:rPr>
        <w:t xml:space="preserve">forwarded </w:t>
      </w:r>
      <w:r w:rsidR="0056000C">
        <w:rPr>
          <w:lang w:val="en-GB"/>
        </w:rPr>
        <w:t xml:space="preserve">on that date </w:t>
      </w:r>
      <w:bookmarkStart w:id="0" w:name="_GoBack"/>
      <w:bookmarkEnd w:id="0"/>
      <w:r w:rsidRPr="006613D3">
        <w:rPr>
          <w:lang w:val="en-GB"/>
        </w:rPr>
        <w:t>for comments to the Party concerned and the communicant</w:t>
      </w:r>
      <w:r w:rsidR="0056000C">
        <w:rPr>
          <w:lang w:val="en-GB"/>
        </w:rPr>
        <w:t xml:space="preserve">. </w:t>
      </w:r>
      <w:r w:rsidR="00C94E27" w:rsidRPr="006613D3">
        <w:rPr>
          <w:lang w:val="en-GB"/>
        </w:rPr>
        <w:t xml:space="preserve">Both were invited to provide comments by </w:t>
      </w:r>
      <w:r w:rsidR="0056000C">
        <w:rPr>
          <w:lang w:val="en-GB"/>
        </w:rPr>
        <w:t>4 July 2018.</w:t>
      </w:r>
    </w:p>
    <w:p w:rsidR="00C94E27" w:rsidRPr="00695D7A" w:rsidRDefault="00C94E27" w:rsidP="005472EB">
      <w:pPr>
        <w:pStyle w:val="SingleTxtG"/>
        <w:numPr>
          <w:ilvl w:val="0"/>
          <w:numId w:val="3"/>
        </w:numPr>
        <w:ind w:left="1100" w:right="0" w:firstLine="0"/>
        <w:rPr>
          <w:i/>
          <w:lang w:val="en-GB"/>
        </w:rPr>
      </w:pPr>
      <w:r w:rsidRPr="00695D7A">
        <w:rPr>
          <w:i/>
          <w:lang w:val="en-GB"/>
        </w:rPr>
        <w:t>The Party concerned and the communicant provided comments on … and … respectively.</w:t>
      </w:r>
    </w:p>
    <w:p w:rsidR="00C94E27" w:rsidRPr="00695D7A" w:rsidRDefault="00C94E27" w:rsidP="005472EB">
      <w:pPr>
        <w:pStyle w:val="SingleTxtG"/>
        <w:numPr>
          <w:ilvl w:val="0"/>
          <w:numId w:val="3"/>
        </w:numPr>
        <w:ind w:left="1100" w:right="0" w:firstLine="0"/>
        <w:rPr>
          <w:i/>
          <w:lang w:val="en-GB"/>
        </w:rPr>
      </w:pPr>
      <w:r w:rsidRPr="00695D7A">
        <w:rPr>
          <w:i/>
          <w:lang w:val="en-GB"/>
        </w:rPr>
        <w:t>At its […] meeting, the Committee proceeded to finalize its findings in closed session, taking account of the comments received. The Committee then adopted its findings and agreed that they should be published as a formal pre-session document to its [</w:t>
      </w:r>
      <w:r w:rsidR="007F09E7" w:rsidRPr="00695D7A">
        <w:rPr>
          <w:i/>
          <w:lang w:val="en-GB"/>
        </w:rPr>
        <w:t>…</w:t>
      </w:r>
      <w:r w:rsidRPr="00695D7A">
        <w:rPr>
          <w:i/>
          <w:lang w:val="en-GB"/>
        </w:rPr>
        <w:t>]</w:t>
      </w:r>
      <w:r w:rsidR="00A8433D" w:rsidRPr="00695D7A">
        <w:rPr>
          <w:i/>
          <w:lang w:val="en-GB"/>
        </w:rPr>
        <w:t xml:space="preserve"> meeting. It requested the secretariat to send the findings to the Party concerned and the communicant.</w:t>
      </w:r>
    </w:p>
    <w:p w:rsidR="0023575C" w:rsidRPr="00695D7A" w:rsidRDefault="00D971FB" w:rsidP="005472EB">
      <w:pPr>
        <w:pStyle w:val="HChG"/>
        <w:numPr>
          <w:ilvl w:val="0"/>
          <w:numId w:val="6"/>
        </w:numPr>
        <w:ind w:right="0"/>
      </w:pPr>
      <w:r w:rsidRPr="00695D7A">
        <w:t>Summary of facts, evidence and issues</w:t>
      </w:r>
      <w:r w:rsidR="0023575C" w:rsidRPr="00695D7A">
        <w:rPr>
          <w:rStyle w:val="FootnoteReference"/>
        </w:rPr>
        <w:footnoteReference w:id="2"/>
      </w:r>
    </w:p>
    <w:p w:rsidR="0045180A" w:rsidRPr="00695D7A" w:rsidRDefault="009110A6" w:rsidP="005472EB">
      <w:pPr>
        <w:pStyle w:val="H1G"/>
        <w:numPr>
          <w:ilvl w:val="0"/>
          <w:numId w:val="4"/>
        </w:numPr>
        <w:ind w:right="0"/>
      </w:pPr>
      <w:r w:rsidRPr="00695D7A">
        <w:t>Legal framework</w:t>
      </w:r>
    </w:p>
    <w:p w:rsidR="00FE7CE3" w:rsidRPr="006613D3" w:rsidRDefault="008D7CCE" w:rsidP="00FE7CE3">
      <w:pPr>
        <w:spacing w:after="120"/>
        <w:ind w:left="1100"/>
        <w:rPr>
          <w:b/>
        </w:rPr>
      </w:pPr>
      <w:r w:rsidRPr="006613D3">
        <w:rPr>
          <w:b/>
        </w:rPr>
        <w:t>Public participation in the licensing of nuclear reactors</w:t>
      </w:r>
    </w:p>
    <w:p w:rsidR="00912E09" w:rsidRPr="00695D7A" w:rsidRDefault="00912E09" w:rsidP="00912E09">
      <w:pPr>
        <w:pStyle w:val="SingleTxtG"/>
        <w:numPr>
          <w:ilvl w:val="0"/>
          <w:numId w:val="3"/>
        </w:numPr>
        <w:tabs>
          <w:tab w:val="clear" w:pos="1711"/>
        </w:tabs>
        <w:ind w:left="1134" w:right="0" w:firstLine="0"/>
        <w:rPr>
          <w:rStyle w:val="st"/>
          <w:lang w:val="en-GB"/>
        </w:rPr>
      </w:pPr>
      <w:r w:rsidRPr="00695D7A">
        <w:rPr>
          <w:rStyle w:val="st"/>
          <w:lang w:val="en-GB"/>
        </w:rPr>
        <w:t xml:space="preserve">Section 17 of the </w:t>
      </w:r>
      <w:r w:rsidR="00E1429E" w:rsidRPr="00695D7A">
        <w:rPr>
          <w:rStyle w:val="st"/>
          <w:lang w:val="en-GB"/>
        </w:rPr>
        <w:t>Nuclear Energy</w:t>
      </w:r>
      <w:r w:rsidR="00DC2168" w:rsidRPr="00695D7A">
        <w:rPr>
          <w:rStyle w:val="st"/>
          <w:lang w:val="en-GB"/>
        </w:rPr>
        <w:t xml:space="preserve"> Act</w:t>
      </w:r>
      <w:r w:rsidRPr="00695D7A">
        <w:rPr>
          <w:rStyle w:val="st"/>
          <w:lang w:val="en-GB"/>
        </w:rPr>
        <w:t xml:space="preserve"> </w:t>
      </w:r>
      <w:r w:rsidR="00E1429E" w:rsidRPr="00695D7A">
        <w:rPr>
          <w:rStyle w:val="st"/>
          <w:lang w:val="en-GB"/>
        </w:rPr>
        <w:t xml:space="preserve">of 21 February 1963 </w:t>
      </w:r>
      <w:r w:rsidRPr="00695D7A">
        <w:rPr>
          <w:rStyle w:val="st"/>
          <w:lang w:val="en-GB"/>
        </w:rPr>
        <w:t>states that division 3.4 of the General Administrative Law Act of 4 June 1992</w:t>
      </w:r>
      <w:r w:rsidRPr="00695D7A">
        <w:rPr>
          <w:rStyle w:val="FootnoteReference"/>
          <w:lang w:val="en-GB"/>
        </w:rPr>
        <w:footnoteReference w:id="3"/>
      </w:r>
      <w:r w:rsidRPr="00695D7A">
        <w:rPr>
          <w:rStyle w:val="st"/>
          <w:lang w:val="en-GB"/>
        </w:rPr>
        <w:t xml:space="preserve"> and division 13.2 of the Environmental Management Act of 13 June 1979 (</w:t>
      </w:r>
      <w:r w:rsidRPr="00695D7A">
        <w:rPr>
          <w:rStyle w:val="st"/>
          <w:i/>
          <w:lang w:val="en-GB"/>
        </w:rPr>
        <w:t>Wet milieubeheer</w:t>
      </w:r>
      <w:r w:rsidRPr="00695D7A">
        <w:rPr>
          <w:rStyle w:val="st"/>
          <w:lang w:val="en-GB"/>
        </w:rPr>
        <w:t>)</w:t>
      </w:r>
      <w:r w:rsidRPr="00695D7A">
        <w:rPr>
          <w:rStyle w:val="FootnoteReference"/>
          <w:lang w:val="en-GB"/>
        </w:rPr>
        <w:footnoteReference w:id="4"/>
      </w:r>
      <w:r w:rsidRPr="00695D7A">
        <w:rPr>
          <w:rStyle w:val="st"/>
          <w:lang w:val="en-GB"/>
        </w:rPr>
        <w:t xml:space="preserve"> apply to the preparation of a decision on a request for a nuclear </w:t>
      </w:r>
      <w:r w:rsidR="0046030A">
        <w:rPr>
          <w:rStyle w:val="st"/>
          <w:lang w:val="en-GB"/>
        </w:rPr>
        <w:t>licence</w:t>
      </w:r>
      <w:r w:rsidRPr="00695D7A">
        <w:rPr>
          <w:rStyle w:val="st"/>
          <w:lang w:val="en-GB"/>
        </w:rPr>
        <w:t>.</w:t>
      </w:r>
      <w:r w:rsidRPr="00695D7A">
        <w:rPr>
          <w:rStyle w:val="FootnoteReference"/>
          <w:lang w:val="en-GB"/>
        </w:rPr>
        <w:footnoteReference w:id="5"/>
      </w:r>
      <w:r w:rsidRPr="00695D7A">
        <w:rPr>
          <w:rStyle w:val="st"/>
          <w:lang w:val="en-GB"/>
        </w:rPr>
        <w:t xml:space="preserve"> Division 3.4 of the General Administrative Law Act </w:t>
      </w:r>
      <w:r w:rsidR="001973AF">
        <w:rPr>
          <w:rStyle w:val="st"/>
          <w:lang w:val="en-GB"/>
        </w:rPr>
        <w:t>establishes the</w:t>
      </w:r>
      <w:r w:rsidRPr="00695D7A">
        <w:rPr>
          <w:rStyle w:val="st"/>
          <w:lang w:val="en-GB"/>
        </w:rPr>
        <w:t xml:space="preserve"> requirements to notify the public concerned on decision-making</w:t>
      </w:r>
      <w:r w:rsidR="001973AF">
        <w:rPr>
          <w:rStyle w:val="st"/>
          <w:lang w:val="en-GB"/>
        </w:rPr>
        <w:t>,</w:t>
      </w:r>
      <w:r w:rsidRPr="00695D7A">
        <w:rPr>
          <w:rStyle w:val="st"/>
          <w:lang w:val="en-GB"/>
        </w:rPr>
        <w:t xml:space="preserve"> </w:t>
      </w:r>
      <w:r w:rsidR="001973AF">
        <w:rPr>
          <w:rStyle w:val="st"/>
          <w:lang w:val="en-GB"/>
        </w:rPr>
        <w:t xml:space="preserve">the </w:t>
      </w:r>
      <w:r w:rsidRPr="00695D7A">
        <w:rPr>
          <w:rStyle w:val="st"/>
          <w:lang w:val="en-GB"/>
        </w:rPr>
        <w:t xml:space="preserve">timeframes for the public participation procedure and </w:t>
      </w:r>
      <w:r w:rsidR="001973AF">
        <w:rPr>
          <w:rStyle w:val="st"/>
          <w:lang w:val="en-GB"/>
        </w:rPr>
        <w:t xml:space="preserve">the </w:t>
      </w:r>
      <w:r w:rsidRPr="00695D7A">
        <w:rPr>
          <w:rStyle w:val="st"/>
          <w:lang w:val="en-GB"/>
        </w:rPr>
        <w:t>procedure for the consideration of the comments and views</w:t>
      </w:r>
      <w:r w:rsidR="001973AF">
        <w:rPr>
          <w:rStyle w:val="st"/>
          <w:lang w:val="en-GB"/>
        </w:rPr>
        <w:t xml:space="preserve"> submitted</w:t>
      </w:r>
      <w:r w:rsidRPr="00695D7A">
        <w:rPr>
          <w:rStyle w:val="st"/>
          <w:lang w:val="en-GB"/>
        </w:rPr>
        <w:t>.</w:t>
      </w:r>
      <w:r w:rsidRPr="00695D7A">
        <w:rPr>
          <w:rStyle w:val="FootnoteReference"/>
          <w:lang w:val="en-GB"/>
        </w:rPr>
        <w:footnoteReference w:id="6"/>
      </w:r>
    </w:p>
    <w:p w:rsidR="00477630" w:rsidRPr="00695D7A" w:rsidRDefault="00477630" w:rsidP="00A734E7">
      <w:pPr>
        <w:pStyle w:val="H1G"/>
        <w:numPr>
          <w:ilvl w:val="0"/>
          <w:numId w:val="4"/>
        </w:numPr>
        <w:tabs>
          <w:tab w:val="clear" w:pos="851"/>
          <w:tab w:val="clear" w:pos="1200"/>
          <w:tab w:val="left" w:pos="1134"/>
        </w:tabs>
        <w:ind w:left="709" w:right="0" w:firstLine="0"/>
      </w:pPr>
      <w:r w:rsidRPr="00695D7A">
        <w:t>Facts</w:t>
      </w:r>
    </w:p>
    <w:p w:rsidR="00515D78" w:rsidRPr="00695D7A" w:rsidRDefault="00D95E0D" w:rsidP="00CD647F">
      <w:pPr>
        <w:pStyle w:val="SingleTxtG"/>
        <w:numPr>
          <w:ilvl w:val="0"/>
          <w:numId w:val="3"/>
        </w:numPr>
        <w:ind w:left="1134" w:right="0" w:firstLine="0"/>
        <w:rPr>
          <w:rStyle w:val="st"/>
          <w:lang w:val="en-GB"/>
        </w:rPr>
      </w:pPr>
      <w:r w:rsidRPr="00695D7A">
        <w:rPr>
          <w:rStyle w:val="st"/>
          <w:lang w:val="en-GB"/>
        </w:rPr>
        <w:t xml:space="preserve">The </w:t>
      </w:r>
      <w:r w:rsidR="000E5178" w:rsidRPr="00695D7A">
        <w:rPr>
          <w:rStyle w:val="st"/>
          <w:lang w:val="en-GB"/>
        </w:rPr>
        <w:t>Borssele NPP</w:t>
      </w:r>
      <w:r w:rsidRPr="00695D7A">
        <w:rPr>
          <w:rStyle w:val="st"/>
          <w:lang w:val="en-GB"/>
        </w:rPr>
        <w:t xml:space="preserve"> is</w:t>
      </w:r>
      <w:r w:rsidR="00D60D6D">
        <w:rPr>
          <w:rStyle w:val="st"/>
          <w:lang w:val="en-GB"/>
        </w:rPr>
        <w:t xml:space="preserve"> operated by </w:t>
      </w:r>
      <w:r w:rsidR="00D60D6D" w:rsidRPr="00695D7A">
        <w:rPr>
          <w:rStyle w:val="st"/>
          <w:lang w:val="en-GB"/>
        </w:rPr>
        <w:t>“</w:t>
      </w:r>
      <w:r w:rsidR="00D60D6D" w:rsidRPr="00695D7A">
        <w:rPr>
          <w:lang w:val="en-GB"/>
        </w:rPr>
        <w:t xml:space="preserve">N.V. Elektriciteits Produktiemaatschappij Zuid-Nederland EPZ” </w:t>
      </w:r>
      <w:r w:rsidR="00D60D6D">
        <w:rPr>
          <w:lang w:val="en-GB"/>
        </w:rPr>
        <w:t>(the NPP operator). The NPP is</w:t>
      </w:r>
      <w:r w:rsidRPr="00695D7A">
        <w:rPr>
          <w:rStyle w:val="st"/>
          <w:lang w:val="en-GB"/>
        </w:rPr>
        <w:t xml:space="preserve"> a two-loop Siemens/KWU pressurized water reactor that has been in commercial operation since 1973.</w:t>
      </w:r>
      <w:r w:rsidR="007826C3" w:rsidRPr="00695D7A">
        <w:rPr>
          <w:rStyle w:val="FootnoteReference"/>
          <w:lang w:val="en-GB"/>
        </w:rPr>
        <w:footnoteReference w:id="7"/>
      </w:r>
      <w:r w:rsidR="007F1A75" w:rsidRPr="00695D7A">
        <w:rPr>
          <w:rStyle w:val="st"/>
          <w:lang w:val="en-GB"/>
        </w:rPr>
        <w:t xml:space="preserve"> </w:t>
      </w:r>
      <w:r w:rsidR="001552E7" w:rsidRPr="00695D7A">
        <w:rPr>
          <w:rStyle w:val="st"/>
          <w:lang w:val="en-GB"/>
        </w:rPr>
        <w:t xml:space="preserve">The licence </w:t>
      </w:r>
      <w:r w:rsidR="00654FC5" w:rsidRPr="00695D7A">
        <w:rPr>
          <w:rStyle w:val="st"/>
          <w:lang w:val="en-GB"/>
        </w:rPr>
        <w:t>of</w:t>
      </w:r>
      <w:r w:rsidR="002419AD" w:rsidRPr="00695D7A">
        <w:rPr>
          <w:rStyle w:val="st"/>
          <w:lang w:val="en-GB"/>
        </w:rPr>
        <w:t xml:space="preserve"> </w:t>
      </w:r>
      <w:r w:rsidR="001552E7" w:rsidRPr="00695D7A">
        <w:rPr>
          <w:rStyle w:val="st"/>
          <w:lang w:val="en-GB"/>
        </w:rPr>
        <w:t>18 June 1973, reference No. 373/1132/EEK</w:t>
      </w:r>
      <w:r w:rsidR="00562C2B" w:rsidRPr="00695D7A">
        <w:rPr>
          <w:rStyle w:val="st"/>
          <w:lang w:val="en-GB"/>
        </w:rPr>
        <w:t>,</w:t>
      </w:r>
      <w:r w:rsidR="001863E9" w:rsidRPr="00695D7A">
        <w:rPr>
          <w:rStyle w:val="st"/>
          <w:lang w:val="en-GB"/>
        </w:rPr>
        <w:t xml:space="preserve"> </w:t>
      </w:r>
      <w:r w:rsidR="00041439" w:rsidRPr="00695D7A">
        <w:rPr>
          <w:rStyle w:val="st"/>
          <w:lang w:val="en-GB"/>
        </w:rPr>
        <w:t xml:space="preserve">was issued for an indefinite period under the </w:t>
      </w:r>
      <w:r w:rsidR="007E09C7" w:rsidRPr="00695D7A">
        <w:rPr>
          <w:rStyle w:val="st"/>
          <w:lang w:val="en-GB"/>
        </w:rPr>
        <w:t>Nuclear Energy Act</w:t>
      </w:r>
      <w:r w:rsidR="00515D78" w:rsidRPr="00695D7A">
        <w:rPr>
          <w:rStyle w:val="st"/>
          <w:lang w:val="en-GB"/>
        </w:rPr>
        <w:t>.</w:t>
      </w:r>
      <w:r w:rsidR="001863E9" w:rsidRPr="00695D7A">
        <w:rPr>
          <w:rStyle w:val="FootnoteReference"/>
          <w:lang w:val="en-GB"/>
        </w:rPr>
        <w:footnoteReference w:id="8"/>
      </w:r>
      <w:r w:rsidR="00515D78" w:rsidRPr="00695D7A">
        <w:rPr>
          <w:rStyle w:val="st"/>
          <w:lang w:val="en-GB"/>
        </w:rPr>
        <w:t xml:space="preserve"> The Safety Report is part of the </w:t>
      </w:r>
      <w:r w:rsidR="0046030A">
        <w:rPr>
          <w:rStyle w:val="st"/>
          <w:lang w:val="en-GB"/>
        </w:rPr>
        <w:t>licence</w:t>
      </w:r>
      <w:r w:rsidR="005A372A" w:rsidRPr="00695D7A">
        <w:rPr>
          <w:rStyle w:val="st"/>
          <w:lang w:val="en-GB"/>
        </w:rPr>
        <w:t xml:space="preserve"> and </w:t>
      </w:r>
      <w:r w:rsidR="003C1E65" w:rsidRPr="00695D7A">
        <w:rPr>
          <w:rStyle w:val="st"/>
          <w:lang w:val="en-GB"/>
        </w:rPr>
        <w:t>was based on a</w:t>
      </w:r>
      <w:r w:rsidR="00562C2B" w:rsidRPr="00695D7A">
        <w:rPr>
          <w:rStyle w:val="st"/>
          <w:lang w:val="en-GB"/>
        </w:rPr>
        <w:t xml:space="preserve"> </w:t>
      </w:r>
      <w:r w:rsidR="005A372A" w:rsidRPr="00695D7A">
        <w:rPr>
          <w:rStyle w:val="st"/>
          <w:lang w:val="en-GB"/>
        </w:rPr>
        <w:t xml:space="preserve">design lifetime </w:t>
      </w:r>
      <w:r w:rsidR="00145E4A" w:rsidRPr="00695D7A">
        <w:rPr>
          <w:rStyle w:val="st"/>
          <w:lang w:val="en-GB"/>
        </w:rPr>
        <w:t>for</w:t>
      </w:r>
      <w:r w:rsidR="005A372A" w:rsidRPr="00695D7A">
        <w:rPr>
          <w:rStyle w:val="st"/>
          <w:lang w:val="en-GB"/>
        </w:rPr>
        <w:t xml:space="preserve"> the NPP of 40 years</w:t>
      </w:r>
      <w:r w:rsidR="00515D78" w:rsidRPr="00695D7A">
        <w:rPr>
          <w:rStyle w:val="st"/>
          <w:lang w:val="en-GB"/>
        </w:rPr>
        <w:t>.</w:t>
      </w:r>
      <w:r w:rsidR="005A372A" w:rsidRPr="00695D7A">
        <w:rPr>
          <w:rStyle w:val="FootnoteReference"/>
          <w:lang w:val="en-GB"/>
        </w:rPr>
        <w:footnoteReference w:id="9"/>
      </w:r>
    </w:p>
    <w:p w:rsidR="007C254C" w:rsidRDefault="007C254C" w:rsidP="00695D7A">
      <w:pPr>
        <w:pStyle w:val="SingleTxtG"/>
        <w:ind w:right="0"/>
        <w:rPr>
          <w:rStyle w:val="st"/>
          <w:i/>
          <w:lang w:val="en-GB"/>
        </w:rPr>
      </w:pPr>
    </w:p>
    <w:p w:rsidR="007C254C" w:rsidRDefault="007C254C" w:rsidP="00695D7A">
      <w:pPr>
        <w:pStyle w:val="SingleTxtG"/>
        <w:ind w:right="0"/>
        <w:rPr>
          <w:rStyle w:val="st"/>
          <w:i/>
          <w:lang w:val="en-GB"/>
        </w:rPr>
      </w:pPr>
    </w:p>
    <w:p w:rsidR="007C254C" w:rsidRDefault="007C254C" w:rsidP="00695D7A">
      <w:pPr>
        <w:pStyle w:val="SingleTxtG"/>
        <w:ind w:right="0"/>
        <w:rPr>
          <w:rStyle w:val="st"/>
          <w:i/>
          <w:lang w:val="en-GB"/>
        </w:rPr>
      </w:pPr>
    </w:p>
    <w:p w:rsidR="00EF0F0C" w:rsidRPr="006613D3" w:rsidRDefault="00213D26" w:rsidP="00695D7A">
      <w:pPr>
        <w:pStyle w:val="SingleTxtG"/>
        <w:ind w:right="0"/>
        <w:rPr>
          <w:rStyle w:val="st"/>
          <w:b/>
          <w:lang w:val="en-GB"/>
        </w:rPr>
      </w:pPr>
      <w:r w:rsidRPr="006613D3">
        <w:rPr>
          <w:rStyle w:val="st"/>
          <w:b/>
          <w:lang w:val="en-GB"/>
        </w:rPr>
        <w:lastRenderedPageBreak/>
        <w:t>The “</w:t>
      </w:r>
      <w:r w:rsidR="00EF0F0C" w:rsidRPr="006613D3">
        <w:rPr>
          <w:rStyle w:val="st"/>
          <w:b/>
          <w:lang w:val="en-GB"/>
        </w:rPr>
        <w:t>2006 Covenant</w:t>
      </w:r>
      <w:r w:rsidRPr="006613D3">
        <w:rPr>
          <w:rStyle w:val="st"/>
          <w:b/>
          <w:lang w:val="en-GB"/>
        </w:rPr>
        <w:t>” and amendment of the Nuclear Energy Act</w:t>
      </w:r>
    </w:p>
    <w:p w:rsidR="00D27DF2" w:rsidRPr="00695D7A" w:rsidRDefault="00D27DF2" w:rsidP="00A734E7">
      <w:pPr>
        <w:pStyle w:val="SingleTxtG"/>
        <w:numPr>
          <w:ilvl w:val="0"/>
          <w:numId w:val="3"/>
        </w:numPr>
        <w:ind w:left="1134" w:right="0" w:firstLine="0"/>
        <w:rPr>
          <w:rStyle w:val="st"/>
          <w:lang w:val="en-GB"/>
        </w:rPr>
      </w:pPr>
      <w:bookmarkStart w:id="1" w:name="_Ref498095351"/>
      <w:r w:rsidRPr="00695D7A">
        <w:rPr>
          <w:rStyle w:val="st"/>
          <w:lang w:val="en-GB"/>
        </w:rPr>
        <w:t>In 199</w:t>
      </w:r>
      <w:r w:rsidR="00B16BE4" w:rsidRPr="00695D7A">
        <w:rPr>
          <w:rStyle w:val="st"/>
          <w:lang w:val="en-GB"/>
        </w:rPr>
        <w:t>4</w:t>
      </w:r>
      <w:r w:rsidRPr="00695D7A">
        <w:rPr>
          <w:rStyle w:val="st"/>
          <w:lang w:val="en-GB"/>
        </w:rPr>
        <w:t>,</w:t>
      </w:r>
      <w:r w:rsidR="00B16BE4" w:rsidRPr="00695D7A">
        <w:rPr>
          <w:rStyle w:val="st"/>
          <w:lang w:val="en-GB"/>
        </w:rPr>
        <w:t xml:space="preserve"> the Minister of Economic Affairs of the Party concerned and the </w:t>
      </w:r>
      <w:r w:rsidR="00B16BE4" w:rsidRPr="00695D7A">
        <w:rPr>
          <w:lang w:val="en-GB"/>
        </w:rPr>
        <w:t xml:space="preserve">electricity producers’ cooperative agreed </w:t>
      </w:r>
      <w:r w:rsidR="001863E9" w:rsidRPr="00695D7A">
        <w:rPr>
          <w:lang w:val="en-GB"/>
        </w:rPr>
        <w:t xml:space="preserve">to close </w:t>
      </w:r>
      <w:r w:rsidR="00B16BE4" w:rsidRPr="00695D7A">
        <w:rPr>
          <w:lang w:val="en-GB"/>
        </w:rPr>
        <w:t>the</w:t>
      </w:r>
      <w:r w:rsidR="00145E4A" w:rsidRPr="00695D7A">
        <w:rPr>
          <w:lang w:val="en-GB"/>
        </w:rPr>
        <w:t xml:space="preserve"> Borssele</w:t>
      </w:r>
      <w:r w:rsidR="00B16BE4" w:rsidRPr="00695D7A">
        <w:rPr>
          <w:lang w:val="en-GB"/>
        </w:rPr>
        <w:t xml:space="preserve"> </w:t>
      </w:r>
      <w:r w:rsidR="00145E4A" w:rsidRPr="00695D7A">
        <w:rPr>
          <w:lang w:val="en-GB"/>
        </w:rPr>
        <w:t>NPP</w:t>
      </w:r>
      <w:r w:rsidR="00B16BE4" w:rsidRPr="00695D7A">
        <w:rPr>
          <w:lang w:val="en-GB"/>
        </w:rPr>
        <w:t xml:space="preserve"> in 2004</w:t>
      </w:r>
      <w:r w:rsidRPr="00695D7A">
        <w:rPr>
          <w:rStyle w:val="st"/>
          <w:lang w:val="en-GB"/>
        </w:rPr>
        <w:t>.</w:t>
      </w:r>
      <w:r w:rsidR="00B16BE4" w:rsidRPr="00695D7A">
        <w:rPr>
          <w:rStyle w:val="FootnoteReference"/>
          <w:lang w:val="en-GB"/>
        </w:rPr>
        <w:footnoteReference w:id="10"/>
      </w:r>
      <w:bookmarkEnd w:id="1"/>
    </w:p>
    <w:p w:rsidR="00D27DF2" w:rsidRPr="00695D7A" w:rsidRDefault="00D27DF2" w:rsidP="00A734E7">
      <w:pPr>
        <w:pStyle w:val="SingleTxtG"/>
        <w:numPr>
          <w:ilvl w:val="0"/>
          <w:numId w:val="3"/>
        </w:numPr>
        <w:ind w:left="1134" w:right="0" w:firstLine="0"/>
        <w:rPr>
          <w:rStyle w:val="st"/>
          <w:lang w:val="en-GB"/>
        </w:rPr>
      </w:pPr>
      <w:r w:rsidRPr="00695D7A">
        <w:rPr>
          <w:rStyle w:val="st"/>
          <w:lang w:val="en-GB"/>
        </w:rPr>
        <w:t xml:space="preserve">In 1997, the restriction to the operating time was entered into the operating </w:t>
      </w:r>
      <w:r w:rsidR="0046030A">
        <w:rPr>
          <w:rStyle w:val="st"/>
          <w:lang w:val="en-GB"/>
        </w:rPr>
        <w:t>licence</w:t>
      </w:r>
      <w:r w:rsidRPr="00695D7A">
        <w:rPr>
          <w:rStyle w:val="st"/>
          <w:lang w:val="en-GB"/>
        </w:rPr>
        <w:t xml:space="preserve"> but </w:t>
      </w:r>
      <w:r w:rsidR="00B16BE4" w:rsidRPr="00695D7A">
        <w:rPr>
          <w:rStyle w:val="st"/>
          <w:lang w:val="en-GB"/>
        </w:rPr>
        <w:t xml:space="preserve">in 2000 quashed by the </w:t>
      </w:r>
      <w:r w:rsidR="00B16BE4" w:rsidRPr="00695D7A">
        <w:rPr>
          <w:lang w:val="en-GB"/>
        </w:rPr>
        <w:t>Council of State</w:t>
      </w:r>
      <w:r w:rsidR="00562C2B" w:rsidRPr="00695D7A">
        <w:rPr>
          <w:lang w:val="en-GB"/>
        </w:rPr>
        <w:t xml:space="preserve"> (the highest administrative court of the Party concerned)</w:t>
      </w:r>
      <w:r w:rsidRPr="00695D7A">
        <w:rPr>
          <w:rStyle w:val="st"/>
          <w:lang w:val="en-GB"/>
        </w:rPr>
        <w:t xml:space="preserve"> on formal grounds.</w:t>
      </w:r>
      <w:r w:rsidR="00B16BE4" w:rsidRPr="00695D7A">
        <w:rPr>
          <w:rStyle w:val="FootnoteReference"/>
          <w:lang w:val="en-GB"/>
        </w:rPr>
        <w:footnoteReference w:id="11"/>
      </w:r>
    </w:p>
    <w:p w:rsidR="00D27DF2" w:rsidRPr="00695D7A" w:rsidRDefault="00D27DF2" w:rsidP="00A734E7">
      <w:pPr>
        <w:pStyle w:val="SingleTxtG"/>
        <w:numPr>
          <w:ilvl w:val="0"/>
          <w:numId w:val="3"/>
        </w:numPr>
        <w:ind w:left="1134" w:right="0" w:firstLine="0"/>
        <w:rPr>
          <w:rStyle w:val="st"/>
          <w:lang w:val="en-GB"/>
        </w:rPr>
      </w:pPr>
      <w:bookmarkStart w:id="2" w:name="_Ref498935345"/>
      <w:r w:rsidRPr="00695D7A">
        <w:rPr>
          <w:rStyle w:val="st"/>
          <w:lang w:val="en-GB"/>
        </w:rPr>
        <w:t xml:space="preserve">In 2002, the </w:t>
      </w:r>
      <w:r w:rsidR="00145E4A" w:rsidRPr="00695D7A">
        <w:rPr>
          <w:rStyle w:val="st"/>
          <w:lang w:val="en-GB"/>
        </w:rPr>
        <w:t xml:space="preserve">NPP </w:t>
      </w:r>
      <w:r w:rsidRPr="00695D7A">
        <w:rPr>
          <w:rStyle w:val="st"/>
          <w:lang w:val="en-GB"/>
        </w:rPr>
        <w:t>ope</w:t>
      </w:r>
      <w:r w:rsidR="003975B8" w:rsidRPr="00695D7A">
        <w:rPr>
          <w:rStyle w:val="st"/>
          <w:lang w:val="en-GB"/>
        </w:rPr>
        <w:t xml:space="preserve">rator </w:t>
      </w:r>
      <w:r w:rsidR="00B16BE4" w:rsidRPr="00695D7A">
        <w:rPr>
          <w:rStyle w:val="st"/>
          <w:lang w:val="en-GB"/>
        </w:rPr>
        <w:t>was asked to abide by the 1994 agreement</w:t>
      </w:r>
      <w:r w:rsidR="006C5E47">
        <w:rPr>
          <w:rStyle w:val="st"/>
          <w:lang w:val="en-GB"/>
        </w:rPr>
        <w:t xml:space="preserve"> to close the Bors</w:t>
      </w:r>
      <w:r w:rsidR="00797FEC">
        <w:rPr>
          <w:rStyle w:val="st"/>
          <w:lang w:val="en-GB"/>
        </w:rPr>
        <w:t>se</w:t>
      </w:r>
      <w:r w:rsidR="006C5E47">
        <w:rPr>
          <w:rStyle w:val="st"/>
          <w:lang w:val="en-GB"/>
        </w:rPr>
        <w:t>le NPP</w:t>
      </w:r>
      <w:r w:rsidR="00B16BE4" w:rsidRPr="00695D7A">
        <w:rPr>
          <w:rStyle w:val="st"/>
          <w:lang w:val="en-GB"/>
        </w:rPr>
        <w:t xml:space="preserve"> but </w:t>
      </w:r>
      <w:r w:rsidR="003975B8" w:rsidRPr="00695D7A">
        <w:rPr>
          <w:rStyle w:val="st"/>
          <w:lang w:val="en-GB"/>
        </w:rPr>
        <w:t>successfully brought a case alleging that it was not bound to cease operations by 2004</w:t>
      </w:r>
      <w:r w:rsidR="00145E4A" w:rsidRPr="00695D7A">
        <w:rPr>
          <w:rStyle w:val="st"/>
          <w:lang w:val="en-GB"/>
        </w:rPr>
        <w:t xml:space="preserve"> on the basis of that agreement</w:t>
      </w:r>
      <w:r w:rsidR="003975B8" w:rsidRPr="00695D7A">
        <w:rPr>
          <w:rStyle w:val="st"/>
          <w:lang w:val="en-GB"/>
        </w:rPr>
        <w:t xml:space="preserve">. The </w:t>
      </w:r>
      <w:r w:rsidR="00B25AE5" w:rsidRPr="00695D7A">
        <w:rPr>
          <w:rStyle w:val="st"/>
          <w:lang w:val="en-GB"/>
        </w:rPr>
        <w:t>G</w:t>
      </w:r>
      <w:r w:rsidR="003975B8" w:rsidRPr="00695D7A">
        <w:rPr>
          <w:rStyle w:val="st"/>
          <w:lang w:val="en-GB"/>
        </w:rPr>
        <w:t xml:space="preserve">overnment did not appeal the judgment. In its </w:t>
      </w:r>
      <w:r w:rsidR="004131FA">
        <w:rPr>
          <w:rStyle w:val="st"/>
          <w:lang w:val="en-GB"/>
        </w:rPr>
        <w:t xml:space="preserve">2002 </w:t>
      </w:r>
      <w:r w:rsidR="003975B8" w:rsidRPr="00695D7A">
        <w:rPr>
          <w:rStyle w:val="st"/>
          <w:lang w:val="en-GB"/>
        </w:rPr>
        <w:t xml:space="preserve">coalition agreement, the </w:t>
      </w:r>
      <w:r w:rsidR="009516A0">
        <w:rPr>
          <w:rStyle w:val="st"/>
          <w:lang w:val="en-GB"/>
        </w:rPr>
        <w:t>G</w:t>
      </w:r>
      <w:r w:rsidR="009516A0" w:rsidRPr="00695D7A">
        <w:rPr>
          <w:rStyle w:val="st"/>
          <w:lang w:val="en-GB"/>
        </w:rPr>
        <w:t xml:space="preserve">overnment </w:t>
      </w:r>
      <w:r w:rsidR="003975B8" w:rsidRPr="00695D7A">
        <w:rPr>
          <w:rStyle w:val="st"/>
          <w:lang w:val="en-GB"/>
        </w:rPr>
        <w:t>announced that the NPP should close in 2013 instead.</w:t>
      </w:r>
      <w:r w:rsidR="00B16BE4" w:rsidRPr="00695D7A">
        <w:rPr>
          <w:rStyle w:val="FootnoteReference"/>
          <w:lang w:val="en-GB"/>
        </w:rPr>
        <w:footnoteReference w:id="12"/>
      </w:r>
      <w:bookmarkEnd w:id="2"/>
    </w:p>
    <w:p w:rsidR="003975B8" w:rsidRPr="00695D7A" w:rsidRDefault="003975B8" w:rsidP="00A734E7">
      <w:pPr>
        <w:pStyle w:val="SingleTxtG"/>
        <w:numPr>
          <w:ilvl w:val="0"/>
          <w:numId w:val="3"/>
        </w:numPr>
        <w:ind w:left="1134" w:right="0" w:firstLine="0"/>
        <w:rPr>
          <w:lang w:val="en-GB"/>
        </w:rPr>
      </w:pPr>
      <w:r w:rsidRPr="00695D7A">
        <w:rPr>
          <w:rStyle w:val="st"/>
          <w:lang w:val="en-GB"/>
        </w:rPr>
        <w:t xml:space="preserve">In 2004, the </w:t>
      </w:r>
      <w:r w:rsidR="00145E4A" w:rsidRPr="00695D7A">
        <w:rPr>
          <w:rStyle w:val="st"/>
          <w:lang w:val="en-GB"/>
        </w:rPr>
        <w:t xml:space="preserve">NPP </w:t>
      </w:r>
      <w:r w:rsidR="00B16BE4" w:rsidRPr="00695D7A">
        <w:rPr>
          <w:rStyle w:val="st"/>
          <w:lang w:val="en-GB"/>
        </w:rPr>
        <w:t>operator informed</w:t>
      </w:r>
      <w:r w:rsidRPr="00695D7A">
        <w:rPr>
          <w:rStyle w:val="st"/>
          <w:lang w:val="en-GB"/>
        </w:rPr>
        <w:t xml:space="preserve"> the Ministry of Environment </w:t>
      </w:r>
      <w:r w:rsidRPr="00695D7A">
        <w:rPr>
          <w:lang w:val="en-GB"/>
        </w:rPr>
        <w:t xml:space="preserve">that it </w:t>
      </w:r>
      <w:r w:rsidR="002A7F39" w:rsidRPr="00695D7A">
        <w:rPr>
          <w:lang w:val="en-GB"/>
        </w:rPr>
        <w:t>would</w:t>
      </w:r>
      <w:r w:rsidRPr="00695D7A">
        <w:rPr>
          <w:lang w:val="en-GB"/>
        </w:rPr>
        <w:t xml:space="preserve"> not voluntarily agree with </w:t>
      </w:r>
      <w:r w:rsidR="00B25AE5" w:rsidRPr="00695D7A">
        <w:rPr>
          <w:lang w:val="en-GB"/>
        </w:rPr>
        <w:t xml:space="preserve">the proposed </w:t>
      </w:r>
      <w:r w:rsidRPr="00695D7A">
        <w:rPr>
          <w:lang w:val="en-GB"/>
        </w:rPr>
        <w:t xml:space="preserve">closure </w:t>
      </w:r>
      <w:r w:rsidR="00B25AE5" w:rsidRPr="00695D7A">
        <w:rPr>
          <w:lang w:val="en-GB"/>
        </w:rPr>
        <w:t xml:space="preserve">in 2013 </w:t>
      </w:r>
      <w:r w:rsidRPr="00695D7A">
        <w:rPr>
          <w:lang w:val="en-GB"/>
        </w:rPr>
        <w:t xml:space="preserve">and </w:t>
      </w:r>
      <w:r w:rsidR="0001122D" w:rsidRPr="00695D7A">
        <w:rPr>
          <w:lang w:val="en-GB"/>
        </w:rPr>
        <w:t>stated that it considered that full compensation would be due</w:t>
      </w:r>
      <w:r w:rsidR="002A7F39" w:rsidRPr="00695D7A">
        <w:rPr>
          <w:lang w:val="en-GB"/>
        </w:rPr>
        <w:t xml:space="preserve"> in case of closure </w:t>
      </w:r>
      <w:r w:rsidR="00B25AE5" w:rsidRPr="00695D7A">
        <w:rPr>
          <w:lang w:val="en-GB"/>
        </w:rPr>
        <w:t>on that date</w:t>
      </w:r>
      <w:r w:rsidRPr="00695D7A">
        <w:rPr>
          <w:lang w:val="en-GB"/>
        </w:rPr>
        <w:t>.</w:t>
      </w:r>
      <w:r w:rsidR="0001122D" w:rsidRPr="00695D7A">
        <w:rPr>
          <w:rStyle w:val="FootnoteReference"/>
          <w:lang w:val="en-GB"/>
        </w:rPr>
        <w:footnoteReference w:id="13"/>
      </w:r>
    </w:p>
    <w:p w:rsidR="00D60D6D" w:rsidRPr="00695D7A" w:rsidRDefault="003975B8" w:rsidP="00D60D6D">
      <w:pPr>
        <w:pStyle w:val="SingleTxtG"/>
        <w:numPr>
          <w:ilvl w:val="0"/>
          <w:numId w:val="3"/>
        </w:numPr>
        <w:ind w:left="1134" w:right="0" w:firstLine="0"/>
        <w:rPr>
          <w:rStyle w:val="st"/>
          <w:lang w:val="en-GB"/>
        </w:rPr>
      </w:pPr>
      <w:r w:rsidRPr="00695D7A">
        <w:rPr>
          <w:lang w:val="en-GB"/>
        </w:rPr>
        <w:t xml:space="preserve">On 17 July 2006, the </w:t>
      </w:r>
      <w:r w:rsidR="00B25AE5" w:rsidRPr="00695D7A">
        <w:rPr>
          <w:lang w:val="en-GB"/>
        </w:rPr>
        <w:t>G</w:t>
      </w:r>
      <w:r w:rsidRPr="00695D7A">
        <w:rPr>
          <w:lang w:val="en-GB"/>
        </w:rPr>
        <w:t xml:space="preserve">overnment concluded </w:t>
      </w:r>
      <w:r w:rsidR="004C5542" w:rsidRPr="00695D7A">
        <w:rPr>
          <w:lang w:val="en-GB"/>
        </w:rPr>
        <w:t xml:space="preserve">the </w:t>
      </w:r>
      <w:bookmarkStart w:id="3" w:name="_Ref499299821"/>
      <w:r w:rsidR="00D60D6D" w:rsidRPr="00695D7A">
        <w:rPr>
          <w:rStyle w:val="st"/>
          <w:lang w:val="en-GB"/>
        </w:rPr>
        <w:t>“Covenant Kerncentrale Borssele”,</w:t>
      </w:r>
      <w:r w:rsidR="00D60D6D">
        <w:rPr>
          <w:rStyle w:val="FootnoteReference"/>
          <w:lang w:val="en-GB"/>
        </w:rPr>
        <w:footnoteReference w:id="14"/>
      </w:r>
      <w:r w:rsidR="00D60D6D" w:rsidRPr="00695D7A">
        <w:rPr>
          <w:rStyle w:val="st"/>
          <w:lang w:val="en-GB"/>
        </w:rPr>
        <w:t xml:space="preserve"> (the 2006 Covenant) </w:t>
      </w:r>
      <w:r w:rsidR="00D60D6D" w:rsidRPr="001A20E3">
        <w:rPr>
          <w:rStyle w:val="st"/>
          <w:lang w:val="en-GB"/>
        </w:rPr>
        <w:t>an</w:t>
      </w:r>
      <w:r w:rsidR="00D60D6D" w:rsidRPr="00695D7A">
        <w:rPr>
          <w:rStyle w:val="st"/>
          <w:lang w:val="en-GB"/>
        </w:rPr>
        <w:t xml:space="preserve"> agreement between the Government and </w:t>
      </w:r>
      <w:r w:rsidR="00D60D6D" w:rsidRPr="00695D7A">
        <w:rPr>
          <w:lang w:val="en-GB"/>
        </w:rPr>
        <w:t xml:space="preserve">the </w:t>
      </w:r>
      <w:r w:rsidR="00D60D6D">
        <w:rPr>
          <w:lang w:val="en-GB"/>
        </w:rPr>
        <w:t xml:space="preserve">NPP </w:t>
      </w:r>
      <w:r w:rsidR="00D60D6D" w:rsidRPr="00695D7A">
        <w:rPr>
          <w:lang w:val="en-GB"/>
        </w:rPr>
        <w:t>operator to continue the life span of the Borssele NPP up to and including 31 December 2033 at the maximum.</w:t>
      </w:r>
      <w:r w:rsidR="00D60D6D" w:rsidRPr="00695D7A">
        <w:rPr>
          <w:rStyle w:val="FootnoteReference"/>
          <w:lang w:val="en-GB"/>
        </w:rPr>
        <w:footnoteReference w:id="15"/>
      </w:r>
      <w:r w:rsidR="00D60D6D" w:rsidRPr="00695D7A">
        <w:rPr>
          <w:lang w:val="en-GB"/>
        </w:rPr>
        <w:t xml:space="preserve"> In accordance with article 3.1 of the Covenant, the Government </w:t>
      </w:r>
      <w:r w:rsidR="00181F05">
        <w:rPr>
          <w:lang w:val="en-GB"/>
        </w:rPr>
        <w:t xml:space="preserve">commits </w:t>
      </w:r>
      <w:r w:rsidR="00D60D6D" w:rsidRPr="00695D7A">
        <w:rPr>
          <w:lang w:val="en-GB"/>
        </w:rPr>
        <w:t xml:space="preserve">during the lifetime of the Covenant </w:t>
      </w:r>
      <w:r w:rsidR="00181F05">
        <w:rPr>
          <w:lang w:val="en-GB"/>
        </w:rPr>
        <w:t xml:space="preserve">to </w:t>
      </w:r>
      <w:r w:rsidR="006C5E47">
        <w:rPr>
          <w:lang w:val="en-GB"/>
        </w:rPr>
        <w:t>“</w:t>
      </w:r>
      <w:r w:rsidR="00D60D6D" w:rsidRPr="00695D7A">
        <w:rPr>
          <w:lang w:val="en-GB"/>
        </w:rPr>
        <w:t>refrain from initiating international and national legislation and regulations that are intended to close the Borssele NPP before 31 December 2033</w:t>
      </w:r>
      <w:r w:rsidR="006C5E47">
        <w:rPr>
          <w:lang w:val="en-GB"/>
        </w:rPr>
        <w:t>”</w:t>
      </w:r>
      <w:r w:rsidR="00D60D6D" w:rsidRPr="00695D7A">
        <w:rPr>
          <w:lang w:val="en-GB"/>
        </w:rPr>
        <w:t>.</w:t>
      </w:r>
      <w:r w:rsidR="006C5E47" w:rsidRPr="00695D7A">
        <w:rPr>
          <w:vertAlign w:val="superscript"/>
          <w:lang w:val="en-GB"/>
        </w:rPr>
        <w:footnoteReference w:id="16"/>
      </w:r>
      <w:r w:rsidR="00D60D6D" w:rsidRPr="00695D7A">
        <w:rPr>
          <w:lang w:val="en-GB"/>
        </w:rPr>
        <w:t xml:space="preserve"> Article 10.1 of the Covenant requires the Government to give reasonable compensation for the losses suffered and profits lost by the NPP operator in case of an attributable shortcoming in complying with article 3.1, including but not limited to the additional costs incurred relating to the premature closure of the NPP.</w:t>
      </w:r>
      <w:r w:rsidR="00D60D6D" w:rsidRPr="00695D7A">
        <w:rPr>
          <w:vertAlign w:val="superscript"/>
          <w:lang w:val="en-GB"/>
        </w:rPr>
        <w:footnoteReference w:id="17"/>
      </w:r>
      <w:bookmarkEnd w:id="3"/>
    </w:p>
    <w:p w:rsidR="00145E4A" w:rsidRPr="00695D7A" w:rsidRDefault="00FE7CE3" w:rsidP="0057564B">
      <w:pPr>
        <w:pStyle w:val="SingleTxtG"/>
        <w:numPr>
          <w:ilvl w:val="0"/>
          <w:numId w:val="3"/>
        </w:numPr>
        <w:ind w:left="1134" w:right="0" w:firstLine="0"/>
        <w:rPr>
          <w:rStyle w:val="st"/>
          <w:lang w:val="en-GB"/>
        </w:rPr>
      </w:pPr>
      <w:r w:rsidRPr="00695D7A">
        <w:rPr>
          <w:rStyle w:val="st"/>
          <w:lang w:val="en-GB"/>
        </w:rPr>
        <w:t xml:space="preserve">On 1 July 2010, </w:t>
      </w:r>
      <w:r w:rsidR="001B3792" w:rsidRPr="001A20E3">
        <w:rPr>
          <w:rStyle w:val="st"/>
          <w:lang w:val="en-GB"/>
        </w:rPr>
        <w:t xml:space="preserve">section 15 (a) of </w:t>
      </w:r>
      <w:r w:rsidRPr="00695D7A">
        <w:rPr>
          <w:rStyle w:val="st"/>
          <w:lang w:val="en-GB"/>
        </w:rPr>
        <w:t xml:space="preserve">the </w:t>
      </w:r>
      <w:r w:rsidR="00213D26" w:rsidRPr="00695D7A">
        <w:rPr>
          <w:rStyle w:val="st"/>
          <w:lang w:val="en-GB"/>
        </w:rPr>
        <w:t xml:space="preserve">Nuclear Energy Act </w:t>
      </w:r>
      <w:r w:rsidR="003F57D7" w:rsidRPr="00695D7A">
        <w:rPr>
          <w:rStyle w:val="st"/>
          <w:lang w:val="en-GB"/>
        </w:rPr>
        <w:t xml:space="preserve">was amended </w:t>
      </w:r>
      <w:r w:rsidR="00562C2B" w:rsidRPr="00695D7A">
        <w:rPr>
          <w:rStyle w:val="st"/>
          <w:lang w:val="en-GB"/>
        </w:rPr>
        <w:t>to read: “To the extent that it covers the release of nuclear energy, the licence granted pursuant to Section 15 (b) for the operation of the Borssele nuclear power plant that was commissioned in 1973 shall be revoked with effect from 31 December 2033.”</w:t>
      </w:r>
      <w:r w:rsidR="00562C2B" w:rsidRPr="00695D7A">
        <w:rPr>
          <w:rStyle w:val="FootnoteReference"/>
          <w:lang w:val="en-GB"/>
        </w:rPr>
        <w:footnoteReference w:id="18"/>
      </w:r>
      <w:r w:rsidR="00145E4A" w:rsidRPr="00695D7A" w:rsidDel="00145E4A">
        <w:rPr>
          <w:rStyle w:val="st"/>
          <w:lang w:val="en-GB"/>
        </w:rPr>
        <w:t xml:space="preserve"> </w:t>
      </w:r>
    </w:p>
    <w:p w:rsidR="00213D26" w:rsidRPr="006613D3" w:rsidRDefault="00044F62" w:rsidP="00695D7A">
      <w:pPr>
        <w:pStyle w:val="SingleTxtG"/>
        <w:ind w:right="0"/>
        <w:rPr>
          <w:rStyle w:val="st"/>
          <w:b/>
          <w:lang w:val="en-GB"/>
        </w:rPr>
      </w:pPr>
      <w:r w:rsidRPr="006613D3">
        <w:rPr>
          <w:rStyle w:val="st"/>
          <w:b/>
          <w:lang w:val="en-GB"/>
        </w:rPr>
        <w:t xml:space="preserve">Amendments to the operating </w:t>
      </w:r>
      <w:r w:rsidR="0046030A" w:rsidRPr="006613D3">
        <w:rPr>
          <w:rStyle w:val="st"/>
          <w:b/>
          <w:lang w:val="en-GB"/>
        </w:rPr>
        <w:t>licence</w:t>
      </w:r>
      <w:r w:rsidRPr="006613D3">
        <w:rPr>
          <w:rStyle w:val="st"/>
          <w:b/>
          <w:lang w:val="en-GB"/>
        </w:rPr>
        <w:t xml:space="preserve"> and safety report of the</w:t>
      </w:r>
      <w:r w:rsidR="00213D26" w:rsidRPr="006613D3">
        <w:rPr>
          <w:rStyle w:val="st"/>
          <w:b/>
          <w:lang w:val="en-GB"/>
        </w:rPr>
        <w:t xml:space="preserve"> Borssele NPP</w:t>
      </w:r>
    </w:p>
    <w:p w:rsidR="003E5B33" w:rsidRPr="00695D7A" w:rsidRDefault="00044F62" w:rsidP="00044F62">
      <w:pPr>
        <w:pStyle w:val="SingleTxtG"/>
        <w:numPr>
          <w:ilvl w:val="0"/>
          <w:numId w:val="3"/>
        </w:numPr>
        <w:ind w:left="1134" w:right="0" w:firstLine="0"/>
        <w:rPr>
          <w:rStyle w:val="st"/>
          <w:lang w:val="en-GB"/>
        </w:rPr>
      </w:pPr>
      <w:r w:rsidRPr="00695D7A">
        <w:rPr>
          <w:rStyle w:val="st"/>
          <w:lang w:val="en-GB"/>
        </w:rPr>
        <w:t xml:space="preserve">Since 1973, the operating </w:t>
      </w:r>
      <w:r w:rsidR="0046030A">
        <w:rPr>
          <w:rStyle w:val="st"/>
          <w:lang w:val="en-GB"/>
        </w:rPr>
        <w:t>licence</w:t>
      </w:r>
      <w:r w:rsidRPr="00695D7A">
        <w:rPr>
          <w:rStyle w:val="st"/>
          <w:lang w:val="en-GB"/>
        </w:rPr>
        <w:t xml:space="preserve"> of the Borssele NPP has been amended several times. In 1994, the </w:t>
      </w:r>
      <w:r w:rsidR="0046030A">
        <w:rPr>
          <w:rStyle w:val="st"/>
          <w:lang w:val="en-GB"/>
        </w:rPr>
        <w:t>licence</w:t>
      </w:r>
      <w:r w:rsidRPr="00695D7A">
        <w:rPr>
          <w:rStyle w:val="st"/>
          <w:lang w:val="en-GB"/>
        </w:rPr>
        <w:t xml:space="preserve"> was revised to include all previous modifications and an environmental impact assessment </w:t>
      </w:r>
      <w:r w:rsidR="00186CF2" w:rsidRPr="00695D7A">
        <w:rPr>
          <w:rStyle w:val="st"/>
          <w:lang w:val="en-GB"/>
        </w:rPr>
        <w:t xml:space="preserve">procedure </w:t>
      </w:r>
      <w:r w:rsidRPr="00695D7A">
        <w:rPr>
          <w:rStyle w:val="st"/>
          <w:lang w:val="en-GB"/>
        </w:rPr>
        <w:t xml:space="preserve">was </w:t>
      </w:r>
      <w:r w:rsidR="00814D5E" w:rsidRPr="00695D7A">
        <w:rPr>
          <w:rStyle w:val="st"/>
          <w:lang w:val="en-GB"/>
        </w:rPr>
        <w:t>carried out</w:t>
      </w:r>
      <w:r w:rsidRPr="00695D7A">
        <w:rPr>
          <w:rStyle w:val="st"/>
          <w:lang w:val="en-GB"/>
        </w:rPr>
        <w:t>.</w:t>
      </w:r>
      <w:r w:rsidR="001C6412" w:rsidRPr="00695D7A">
        <w:rPr>
          <w:rStyle w:val="FootnoteReference"/>
          <w:lang w:val="en-GB"/>
        </w:rPr>
        <w:footnoteReference w:id="19"/>
      </w:r>
      <w:r w:rsidRPr="00695D7A">
        <w:rPr>
          <w:rStyle w:val="st"/>
          <w:lang w:val="en-GB"/>
        </w:rPr>
        <w:t xml:space="preserve"> In 1996, 2004 and 2013, changes to the </w:t>
      </w:r>
      <w:r w:rsidR="0046030A">
        <w:rPr>
          <w:rStyle w:val="st"/>
          <w:lang w:val="en-GB"/>
        </w:rPr>
        <w:t>licence</w:t>
      </w:r>
      <w:r w:rsidRPr="00695D7A">
        <w:rPr>
          <w:rStyle w:val="st"/>
          <w:lang w:val="en-GB"/>
        </w:rPr>
        <w:t xml:space="preserve"> concerning the fuel usage of the NPP </w:t>
      </w:r>
      <w:r w:rsidR="00814D5E" w:rsidRPr="00695D7A">
        <w:rPr>
          <w:rStyle w:val="st"/>
          <w:lang w:val="en-GB"/>
        </w:rPr>
        <w:t xml:space="preserve">were introduced </w:t>
      </w:r>
      <w:r w:rsidRPr="00695D7A">
        <w:rPr>
          <w:rStyle w:val="st"/>
          <w:lang w:val="en-GB"/>
        </w:rPr>
        <w:t>(entitled POS 1996, POS2 2004 and MOX 2013), each time with</w:t>
      </w:r>
      <w:r w:rsidR="00A96EE4" w:rsidRPr="00695D7A">
        <w:rPr>
          <w:rStyle w:val="st"/>
          <w:lang w:val="en-GB"/>
        </w:rPr>
        <w:t xml:space="preserve"> an environmental impact assessment report and</w:t>
      </w:r>
      <w:r w:rsidRPr="00695D7A">
        <w:rPr>
          <w:rStyle w:val="st"/>
          <w:lang w:val="en-GB"/>
        </w:rPr>
        <w:t xml:space="preserve"> public participation.</w:t>
      </w:r>
      <w:r w:rsidR="001C6412" w:rsidRPr="00695D7A">
        <w:rPr>
          <w:rStyle w:val="FootnoteReference"/>
          <w:lang w:val="en-GB"/>
        </w:rPr>
        <w:footnoteReference w:id="20"/>
      </w:r>
      <w:r w:rsidRPr="00695D7A">
        <w:rPr>
          <w:rStyle w:val="st"/>
          <w:lang w:val="en-GB"/>
        </w:rPr>
        <w:t xml:space="preserve"> The NPP </w:t>
      </w:r>
      <w:r w:rsidR="001C6412" w:rsidRPr="00695D7A">
        <w:rPr>
          <w:rStyle w:val="st"/>
          <w:lang w:val="en-GB"/>
        </w:rPr>
        <w:t xml:space="preserve">was also required </w:t>
      </w:r>
      <w:r w:rsidRPr="00695D7A">
        <w:rPr>
          <w:rStyle w:val="st"/>
          <w:lang w:val="en-GB"/>
        </w:rPr>
        <w:t xml:space="preserve">to undergo mandatory 10-year periodic safety evaluations </w:t>
      </w:r>
      <w:r w:rsidR="003E5B33" w:rsidRPr="00695D7A">
        <w:rPr>
          <w:rStyle w:val="st"/>
          <w:lang w:val="en-GB"/>
        </w:rPr>
        <w:t>in 1993, 2003 and 2013</w:t>
      </w:r>
      <w:r w:rsidR="00DA6C4E" w:rsidRPr="001A20E3">
        <w:rPr>
          <w:rStyle w:val="st"/>
          <w:lang w:val="en-GB"/>
        </w:rPr>
        <w:t>. The 1993 and 2003 safety reviews</w:t>
      </w:r>
      <w:r w:rsidR="003E5B33" w:rsidRPr="00695D7A">
        <w:rPr>
          <w:rStyle w:val="st"/>
          <w:lang w:val="en-GB"/>
        </w:rPr>
        <w:t xml:space="preserve"> </w:t>
      </w:r>
      <w:r w:rsidR="003E5B33" w:rsidRPr="00695D7A">
        <w:rPr>
          <w:rStyle w:val="st"/>
          <w:lang w:val="en-GB"/>
        </w:rPr>
        <w:lastRenderedPageBreak/>
        <w:t>resulted in further amendments to the</w:t>
      </w:r>
      <w:r w:rsidR="00776BB6" w:rsidRPr="00695D7A">
        <w:rPr>
          <w:rStyle w:val="st"/>
          <w:lang w:val="en-GB"/>
        </w:rPr>
        <w:t xml:space="preserve"> </w:t>
      </w:r>
      <w:r w:rsidR="0046030A">
        <w:rPr>
          <w:rStyle w:val="st"/>
          <w:lang w:val="en-GB"/>
        </w:rPr>
        <w:t>licence</w:t>
      </w:r>
      <w:r w:rsidR="00776BB6" w:rsidRPr="00695D7A">
        <w:rPr>
          <w:rStyle w:val="st"/>
          <w:lang w:val="en-GB"/>
        </w:rPr>
        <w:t xml:space="preserve"> with public participation</w:t>
      </w:r>
      <w:r w:rsidR="003E5B33" w:rsidRPr="00695D7A">
        <w:rPr>
          <w:rStyle w:val="st"/>
          <w:lang w:val="en-GB"/>
        </w:rPr>
        <w:t>.</w:t>
      </w:r>
      <w:r w:rsidR="00776BB6" w:rsidRPr="00695D7A">
        <w:rPr>
          <w:rStyle w:val="st"/>
          <w:lang w:val="en-GB"/>
        </w:rPr>
        <w:t xml:space="preserve"> </w:t>
      </w:r>
      <w:r w:rsidR="003E5B33" w:rsidRPr="00695D7A">
        <w:rPr>
          <w:rStyle w:val="st"/>
          <w:lang w:val="en-GB"/>
        </w:rPr>
        <w:t xml:space="preserve">The 2013 procedure </w:t>
      </w:r>
      <w:r w:rsidR="00776BB6" w:rsidRPr="00695D7A">
        <w:rPr>
          <w:rStyle w:val="st"/>
          <w:lang w:val="en-GB"/>
        </w:rPr>
        <w:t xml:space="preserve">was ongoing </w:t>
      </w:r>
      <w:r w:rsidR="00330088">
        <w:rPr>
          <w:rStyle w:val="st"/>
          <w:lang w:val="en-GB"/>
        </w:rPr>
        <w:t>at the time the</w:t>
      </w:r>
      <w:r w:rsidR="00776BB6" w:rsidRPr="00695D7A">
        <w:rPr>
          <w:rStyle w:val="st"/>
          <w:lang w:val="en-GB"/>
        </w:rPr>
        <w:t xml:space="preserve"> communication</w:t>
      </w:r>
      <w:r w:rsidR="00330088">
        <w:rPr>
          <w:rStyle w:val="st"/>
          <w:lang w:val="en-GB"/>
        </w:rPr>
        <w:t xml:space="preserve"> was submitted</w:t>
      </w:r>
      <w:r w:rsidRPr="00695D7A">
        <w:rPr>
          <w:rStyle w:val="st"/>
          <w:lang w:val="en-GB"/>
        </w:rPr>
        <w:t>.</w:t>
      </w:r>
      <w:r w:rsidR="001C6412" w:rsidRPr="00695D7A">
        <w:rPr>
          <w:rStyle w:val="FootnoteReference"/>
          <w:lang w:val="en-GB"/>
        </w:rPr>
        <w:footnoteReference w:id="21"/>
      </w:r>
    </w:p>
    <w:p w:rsidR="001B3792" w:rsidRPr="006613D3" w:rsidRDefault="0046030A" w:rsidP="00695D7A">
      <w:pPr>
        <w:pStyle w:val="SingleTxtG"/>
        <w:ind w:right="0"/>
        <w:rPr>
          <w:rStyle w:val="st"/>
          <w:b/>
          <w:lang w:val="en-GB"/>
        </w:rPr>
      </w:pPr>
      <w:r w:rsidRPr="006613D3">
        <w:rPr>
          <w:rStyle w:val="st"/>
          <w:b/>
          <w:lang w:val="en-GB"/>
        </w:rPr>
        <w:t>Licence</w:t>
      </w:r>
      <w:r w:rsidR="001B3792" w:rsidRPr="006613D3">
        <w:rPr>
          <w:rStyle w:val="st"/>
          <w:b/>
          <w:lang w:val="en-GB"/>
        </w:rPr>
        <w:t xml:space="preserve"> for the extension of the design lifetime of the Borssele NPP</w:t>
      </w:r>
    </w:p>
    <w:p w:rsidR="00424945" w:rsidRPr="00695D7A" w:rsidRDefault="00424945" w:rsidP="00695D7A">
      <w:pPr>
        <w:pStyle w:val="SingleTxtG"/>
        <w:numPr>
          <w:ilvl w:val="0"/>
          <w:numId w:val="3"/>
        </w:numPr>
        <w:ind w:left="1134" w:right="0" w:firstLine="0"/>
        <w:rPr>
          <w:rStyle w:val="st"/>
          <w:lang w:val="en-GB"/>
        </w:rPr>
      </w:pPr>
      <w:r w:rsidRPr="00695D7A">
        <w:rPr>
          <w:rStyle w:val="st"/>
          <w:lang w:val="en-GB"/>
        </w:rPr>
        <w:t xml:space="preserve">On 25 July 2011, the </w:t>
      </w:r>
      <w:r w:rsidR="003E5B33" w:rsidRPr="00695D7A">
        <w:rPr>
          <w:rStyle w:val="st"/>
          <w:lang w:val="en-GB"/>
        </w:rPr>
        <w:t xml:space="preserve">NPP </w:t>
      </w:r>
      <w:r w:rsidRPr="00695D7A">
        <w:rPr>
          <w:rStyle w:val="st"/>
          <w:lang w:val="en-GB"/>
        </w:rPr>
        <w:t xml:space="preserve">operator wrote to the Ministry for Economic Affairs, Agriculture and Innovation to request confirmation that the amendments to the </w:t>
      </w:r>
      <w:r w:rsidR="00766CE9" w:rsidRPr="00695D7A">
        <w:rPr>
          <w:rStyle w:val="st"/>
          <w:lang w:val="en-GB"/>
        </w:rPr>
        <w:t>S</w:t>
      </w:r>
      <w:r w:rsidRPr="00695D7A">
        <w:rPr>
          <w:rStyle w:val="st"/>
          <w:lang w:val="en-GB"/>
        </w:rPr>
        <w:t xml:space="preserve">afety </w:t>
      </w:r>
      <w:r w:rsidR="00766CE9" w:rsidRPr="00695D7A">
        <w:rPr>
          <w:rStyle w:val="st"/>
          <w:lang w:val="en-GB"/>
        </w:rPr>
        <w:t>R</w:t>
      </w:r>
      <w:r w:rsidRPr="00695D7A">
        <w:rPr>
          <w:rStyle w:val="st"/>
          <w:lang w:val="en-GB"/>
        </w:rPr>
        <w:t xml:space="preserve">eport for Borssele NPP needed for </w:t>
      </w:r>
      <w:r w:rsidR="00163457" w:rsidRPr="00695D7A">
        <w:rPr>
          <w:rStyle w:val="st"/>
          <w:lang w:val="en-GB"/>
        </w:rPr>
        <w:t>an</w:t>
      </w:r>
      <w:r w:rsidRPr="00695D7A">
        <w:rPr>
          <w:rStyle w:val="st"/>
          <w:lang w:val="en-GB"/>
        </w:rPr>
        <w:t xml:space="preserve"> extension of the operating time of the NPP until 2033 did not require an environmental assessment. By letter of 13 September 2011, the Ministry confirmed </w:t>
      </w:r>
      <w:r w:rsidR="000B0BDA" w:rsidRPr="00695D7A">
        <w:rPr>
          <w:rStyle w:val="st"/>
          <w:lang w:val="en-GB"/>
        </w:rPr>
        <w:t>that no environmental assessment would be needed</w:t>
      </w:r>
      <w:r w:rsidRPr="00695D7A">
        <w:rPr>
          <w:rStyle w:val="st"/>
          <w:lang w:val="en-GB"/>
        </w:rPr>
        <w:t xml:space="preserve"> as long as the application submitted in 2012 would not contain different elements than previously understood.</w:t>
      </w:r>
      <w:r w:rsidRPr="00695D7A">
        <w:rPr>
          <w:rStyle w:val="FootnoteReference"/>
          <w:lang w:val="en-GB"/>
        </w:rPr>
        <w:footnoteReference w:id="22"/>
      </w:r>
    </w:p>
    <w:p w:rsidR="0040249C" w:rsidRPr="00695D7A" w:rsidRDefault="0040249C" w:rsidP="00A734E7">
      <w:pPr>
        <w:pStyle w:val="SingleTxtG"/>
        <w:numPr>
          <w:ilvl w:val="0"/>
          <w:numId w:val="3"/>
        </w:numPr>
        <w:ind w:left="1134" w:right="0" w:firstLine="0"/>
        <w:rPr>
          <w:rStyle w:val="st"/>
          <w:lang w:val="en-GB"/>
        </w:rPr>
      </w:pPr>
      <w:r w:rsidRPr="00695D7A">
        <w:rPr>
          <w:rStyle w:val="st"/>
          <w:lang w:val="en-GB"/>
        </w:rPr>
        <w:t>On 1</w:t>
      </w:r>
      <w:r w:rsidR="00186CF2" w:rsidRPr="00695D7A">
        <w:rPr>
          <w:rStyle w:val="st"/>
          <w:lang w:val="en-GB"/>
        </w:rPr>
        <w:t>9</w:t>
      </w:r>
      <w:r w:rsidRPr="00695D7A">
        <w:rPr>
          <w:rStyle w:val="st"/>
          <w:lang w:val="en-GB"/>
        </w:rPr>
        <w:t xml:space="preserve"> September 2012, the </w:t>
      </w:r>
      <w:r w:rsidR="00163457" w:rsidRPr="00695D7A">
        <w:rPr>
          <w:rStyle w:val="st"/>
          <w:lang w:val="en-GB"/>
        </w:rPr>
        <w:t>NPP operator</w:t>
      </w:r>
      <w:r w:rsidRPr="00695D7A">
        <w:rPr>
          <w:rStyle w:val="st"/>
          <w:lang w:val="en-GB"/>
        </w:rPr>
        <w:t xml:space="preserve"> </w:t>
      </w:r>
      <w:r w:rsidR="003C730B" w:rsidRPr="00695D7A">
        <w:rPr>
          <w:rStyle w:val="st"/>
          <w:lang w:val="en-GB"/>
        </w:rPr>
        <w:t xml:space="preserve">submitted </w:t>
      </w:r>
      <w:r w:rsidR="002A7F39" w:rsidRPr="00695D7A">
        <w:rPr>
          <w:rStyle w:val="st"/>
          <w:lang w:val="en-GB"/>
        </w:rPr>
        <w:t xml:space="preserve">a </w:t>
      </w:r>
      <w:r w:rsidR="003C730B" w:rsidRPr="00695D7A">
        <w:rPr>
          <w:rStyle w:val="st"/>
          <w:lang w:val="en-GB"/>
        </w:rPr>
        <w:t xml:space="preserve">licence application </w:t>
      </w:r>
      <w:r w:rsidRPr="00695D7A">
        <w:rPr>
          <w:rStyle w:val="st"/>
          <w:lang w:val="en-GB"/>
        </w:rPr>
        <w:t>request</w:t>
      </w:r>
      <w:r w:rsidR="003C730B" w:rsidRPr="00695D7A">
        <w:rPr>
          <w:rStyle w:val="st"/>
          <w:lang w:val="en-GB"/>
        </w:rPr>
        <w:t>ing</w:t>
      </w:r>
      <w:r w:rsidRPr="00695D7A">
        <w:rPr>
          <w:rStyle w:val="st"/>
          <w:lang w:val="en-GB"/>
        </w:rPr>
        <w:t xml:space="preserve"> the extension of the design lifetime of the Borssele NPP</w:t>
      </w:r>
      <w:r w:rsidR="00766CE9" w:rsidRPr="00695D7A">
        <w:rPr>
          <w:rStyle w:val="st"/>
          <w:lang w:val="en-GB"/>
        </w:rPr>
        <w:t xml:space="preserve"> in accordance with </w:t>
      </w:r>
      <w:r w:rsidR="004131FA">
        <w:rPr>
          <w:rStyle w:val="st"/>
          <w:lang w:val="en-GB"/>
        </w:rPr>
        <w:t>s</w:t>
      </w:r>
      <w:r w:rsidR="00766CE9" w:rsidRPr="00695D7A">
        <w:rPr>
          <w:rStyle w:val="st"/>
          <w:lang w:val="en-GB"/>
        </w:rPr>
        <w:t>ection 15 (b) of the Nuclear Energy Act</w:t>
      </w:r>
      <w:r w:rsidRPr="00695D7A">
        <w:rPr>
          <w:rStyle w:val="st"/>
          <w:lang w:val="en-GB"/>
        </w:rPr>
        <w:t>.</w:t>
      </w:r>
      <w:r w:rsidR="00F53A57" w:rsidRPr="00695D7A">
        <w:rPr>
          <w:rStyle w:val="FootnoteReference"/>
          <w:lang w:val="en-GB"/>
        </w:rPr>
        <w:footnoteReference w:id="23"/>
      </w:r>
      <w:r w:rsidR="00407035" w:rsidRPr="00695D7A">
        <w:rPr>
          <w:rStyle w:val="st"/>
          <w:lang w:val="en-GB"/>
        </w:rPr>
        <w:t xml:space="preserve"> </w:t>
      </w:r>
    </w:p>
    <w:p w:rsidR="009373F7" w:rsidRPr="00695D7A" w:rsidRDefault="003C730B" w:rsidP="00A734E7">
      <w:pPr>
        <w:pStyle w:val="SingleTxtG"/>
        <w:numPr>
          <w:ilvl w:val="0"/>
          <w:numId w:val="3"/>
        </w:numPr>
        <w:ind w:left="1134" w:right="0" w:firstLine="0"/>
        <w:rPr>
          <w:rStyle w:val="st"/>
          <w:lang w:val="en-GB"/>
        </w:rPr>
      </w:pPr>
      <w:bookmarkStart w:id="4" w:name="_Ref431992471"/>
      <w:r w:rsidRPr="00695D7A">
        <w:rPr>
          <w:rStyle w:val="st"/>
          <w:lang w:val="en-GB"/>
        </w:rPr>
        <w:t>On 24 October 2012</w:t>
      </w:r>
      <w:r w:rsidR="002A7F39" w:rsidRPr="00695D7A">
        <w:rPr>
          <w:rStyle w:val="st"/>
          <w:lang w:val="en-GB"/>
        </w:rPr>
        <w:t>,</w:t>
      </w:r>
      <w:r w:rsidRPr="00695D7A">
        <w:rPr>
          <w:rStyle w:val="st"/>
          <w:lang w:val="en-GB"/>
        </w:rPr>
        <w:t xml:space="preserve"> the Minister of Economic Affairs announced </w:t>
      </w:r>
      <w:r w:rsidR="00944E98" w:rsidRPr="00695D7A">
        <w:rPr>
          <w:rStyle w:val="st"/>
          <w:lang w:val="en-GB"/>
        </w:rPr>
        <w:t>the</w:t>
      </w:r>
      <w:r w:rsidRPr="00695D7A">
        <w:rPr>
          <w:rStyle w:val="st"/>
          <w:lang w:val="en-GB"/>
        </w:rPr>
        <w:t xml:space="preserve"> preliminary decision to grant </w:t>
      </w:r>
      <w:r w:rsidR="00163457" w:rsidRPr="00695D7A">
        <w:rPr>
          <w:rStyle w:val="st"/>
          <w:lang w:val="en-GB"/>
        </w:rPr>
        <w:t xml:space="preserve">the </w:t>
      </w:r>
      <w:r w:rsidRPr="00695D7A">
        <w:rPr>
          <w:rStyle w:val="st"/>
          <w:lang w:val="en-GB"/>
        </w:rPr>
        <w:t>licence</w:t>
      </w:r>
      <w:r w:rsidR="00B4439F">
        <w:rPr>
          <w:rStyle w:val="st"/>
          <w:lang w:val="en-GB"/>
        </w:rPr>
        <w:t xml:space="preserve"> in several newspapers and on the internet</w:t>
      </w:r>
      <w:r w:rsidRPr="00695D7A">
        <w:rPr>
          <w:rStyle w:val="st"/>
          <w:lang w:val="en-GB"/>
        </w:rPr>
        <w:t>.</w:t>
      </w:r>
      <w:r w:rsidR="00636A7D" w:rsidRPr="00695D7A">
        <w:rPr>
          <w:rStyle w:val="st"/>
          <w:lang w:val="en-GB"/>
        </w:rPr>
        <w:t xml:space="preserve"> </w:t>
      </w:r>
      <w:r w:rsidR="009373F7" w:rsidRPr="00695D7A">
        <w:rPr>
          <w:rStyle w:val="st"/>
          <w:lang w:val="en-GB"/>
        </w:rPr>
        <w:t>Th</w:t>
      </w:r>
      <w:r w:rsidR="007826C3" w:rsidRPr="00695D7A">
        <w:rPr>
          <w:rStyle w:val="st"/>
          <w:lang w:val="en-GB"/>
        </w:rPr>
        <w:t xml:space="preserve">e </w:t>
      </w:r>
      <w:r w:rsidR="00766CE9" w:rsidRPr="00695D7A">
        <w:rPr>
          <w:rStyle w:val="st"/>
          <w:lang w:val="en-GB"/>
        </w:rPr>
        <w:t xml:space="preserve">announcement </w:t>
      </w:r>
      <w:r w:rsidR="00163457" w:rsidRPr="00695D7A">
        <w:rPr>
          <w:rStyle w:val="st"/>
          <w:lang w:val="en-GB"/>
        </w:rPr>
        <w:t xml:space="preserve">stated </w:t>
      </w:r>
      <w:r w:rsidR="002419AD" w:rsidRPr="00695D7A">
        <w:rPr>
          <w:rStyle w:val="st"/>
          <w:lang w:val="en-GB"/>
        </w:rPr>
        <w:t xml:space="preserve">that </w:t>
      </w:r>
      <w:r w:rsidR="009373F7" w:rsidRPr="00695D7A">
        <w:rPr>
          <w:rStyle w:val="st"/>
          <w:lang w:val="en-GB"/>
        </w:rPr>
        <w:t xml:space="preserve">an advance assessment </w:t>
      </w:r>
      <w:r w:rsidR="003F57D7" w:rsidRPr="00695D7A">
        <w:rPr>
          <w:rStyle w:val="st"/>
          <w:lang w:val="en-GB"/>
        </w:rPr>
        <w:t>had determine</w:t>
      </w:r>
      <w:r w:rsidR="009B333D" w:rsidRPr="00695D7A">
        <w:rPr>
          <w:rStyle w:val="st"/>
          <w:lang w:val="en-GB"/>
        </w:rPr>
        <w:t>d</w:t>
      </w:r>
      <w:r w:rsidR="002419AD" w:rsidRPr="00695D7A">
        <w:rPr>
          <w:rStyle w:val="st"/>
          <w:lang w:val="en-GB"/>
        </w:rPr>
        <w:t xml:space="preserve"> that </w:t>
      </w:r>
      <w:r w:rsidR="003F57D7" w:rsidRPr="00695D7A">
        <w:rPr>
          <w:rStyle w:val="st"/>
          <w:lang w:val="en-GB"/>
        </w:rPr>
        <w:t xml:space="preserve">the </w:t>
      </w:r>
      <w:r w:rsidR="009373F7" w:rsidRPr="00695D7A">
        <w:rPr>
          <w:rStyle w:val="st"/>
          <w:lang w:val="en-GB"/>
        </w:rPr>
        <w:t xml:space="preserve">intended activity should </w:t>
      </w:r>
      <w:r w:rsidR="00E51B18" w:rsidRPr="00695D7A">
        <w:rPr>
          <w:rStyle w:val="st"/>
          <w:lang w:val="en-GB"/>
        </w:rPr>
        <w:t xml:space="preserve">not </w:t>
      </w:r>
      <w:r w:rsidR="009373F7" w:rsidRPr="00695D7A">
        <w:rPr>
          <w:rStyle w:val="st"/>
          <w:lang w:val="en-GB"/>
        </w:rPr>
        <w:t xml:space="preserve">be subject to a compulsory </w:t>
      </w:r>
      <w:r w:rsidR="00163457" w:rsidRPr="00695D7A">
        <w:rPr>
          <w:rStyle w:val="st"/>
          <w:lang w:val="en-GB"/>
        </w:rPr>
        <w:t xml:space="preserve">environmental impact assessment </w:t>
      </w:r>
      <w:r w:rsidR="006F0365" w:rsidRPr="00695D7A">
        <w:rPr>
          <w:rStyle w:val="st"/>
          <w:lang w:val="en-GB"/>
        </w:rPr>
        <w:t xml:space="preserve">because it </w:t>
      </w:r>
      <w:r w:rsidR="003F57D7" w:rsidRPr="00695D7A">
        <w:rPr>
          <w:rStyle w:val="st"/>
          <w:lang w:val="en-GB"/>
        </w:rPr>
        <w:t>did</w:t>
      </w:r>
      <w:r w:rsidR="009373F7" w:rsidRPr="00695D7A">
        <w:rPr>
          <w:rStyle w:val="st"/>
          <w:lang w:val="en-GB"/>
        </w:rPr>
        <w:t xml:space="preserve"> not concern an extension to or modification of the design, but rather the form</w:t>
      </w:r>
      <w:r w:rsidR="007826C3" w:rsidRPr="00695D7A">
        <w:rPr>
          <w:rStyle w:val="st"/>
          <w:lang w:val="en-GB"/>
        </w:rPr>
        <w:t>alisation of amendments to the S</w:t>
      </w:r>
      <w:r w:rsidR="009373F7" w:rsidRPr="00695D7A">
        <w:rPr>
          <w:rStyle w:val="st"/>
          <w:lang w:val="en-GB"/>
        </w:rPr>
        <w:t xml:space="preserve">afety </w:t>
      </w:r>
      <w:r w:rsidR="007826C3" w:rsidRPr="00695D7A">
        <w:rPr>
          <w:rStyle w:val="st"/>
          <w:lang w:val="en-GB"/>
        </w:rPr>
        <w:t>R</w:t>
      </w:r>
      <w:r w:rsidR="009373F7" w:rsidRPr="00695D7A">
        <w:rPr>
          <w:rStyle w:val="st"/>
          <w:lang w:val="en-GB"/>
        </w:rPr>
        <w:t>eport, w</w:t>
      </w:r>
      <w:r w:rsidR="003F57D7" w:rsidRPr="00695D7A">
        <w:rPr>
          <w:rStyle w:val="st"/>
          <w:lang w:val="en-GB"/>
        </w:rPr>
        <w:t xml:space="preserve">hich could </w:t>
      </w:r>
      <w:r w:rsidR="009373F7" w:rsidRPr="00695D7A">
        <w:rPr>
          <w:rStyle w:val="st"/>
          <w:lang w:val="en-GB"/>
        </w:rPr>
        <w:t xml:space="preserve">not be expected to have any further environmental consequences. The </w:t>
      </w:r>
      <w:r w:rsidR="00766CE9" w:rsidRPr="00695D7A">
        <w:rPr>
          <w:rStyle w:val="st"/>
          <w:lang w:val="en-GB"/>
        </w:rPr>
        <w:t xml:space="preserve">announcement </w:t>
      </w:r>
      <w:r w:rsidR="009373F7" w:rsidRPr="00695D7A">
        <w:rPr>
          <w:rStyle w:val="st"/>
          <w:lang w:val="en-GB"/>
        </w:rPr>
        <w:t xml:space="preserve">further </w:t>
      </w:r>
      <w:r w:rsidR="003F57D7" w:rsidRPr="00695D7A">
        <w:rPr>
          <w:rStyle w:val="st"/>
          <w:lang w:val="en-GB"/>
        </w:rPr>
        <w:t>stated</w:t>
      </w:r>
      <w:r w:rsidR="009373F7" w:rsidRPr="00695D7A">
        <w:rPr>
          <w:rStyle w:val="st"/>
          <w:lang w:val="en-GB"/>
        </w:rPr>
        <w:t xml:space="preserve"> that the relevant documents for the decision on the extension of the design</w:t>
      </w:r>
      <w:r w:rsidR="003F57D7" w:rsidRPr="00695D7A">
        <w:rPr>
          <w:rStyle w:val="st"/>
          <w:lang w:val="en-GB"/>
        </w:rPr>
        <w:t xml:space="preserve"> lifetime we</w:t>
      </w:r>
      <w:r w:rsidR="009373F7" w:rsidRPr="00695D7A">
        <w:rPr>
          <w:rStyle w:val="st"/>
          <w:lang w:val="en-GB"/>
        </w:rPr>
        <w:t>re available for inspection on working days for a period of six weeks starting from 25 October 2012</w:t>
      </w:r>
      <w:r w:rsidR="00766CE9" w:rsidRPr="00695D7A">
        <w:rPr>
          <w:rStyle w:val="st"/>
          <w:lang w:val="en-GB"/>
        </w:rPr>
        <w:t>. It</w:t>
      </w:r>
      <w:r w:rsidR="00F468C2" w:rsidRPr="00695D7A">
        <w:rPr>
          <w:rStyle w:val="st"/>
          <w:lang w:val="en-GB"/>
        </w:rPr>
        <w:t xml:space="preserve"> </w:t>
      </w:r>
      <w:r w:rsidR="003F57D7" w:rsidRPr="00695D7A">
        <w:rPr>
          <w:rStyle w:val="st"/>
          <w:lang w:val="en-GB"/>
        </w:rPr>
        <w:t>invited</w:t>
      </w:r>
      <w:r w:rsidR="009373F7" w:rsidRPr="00695D7A">
        <w:rPr>
          <w:rStyle w:val="st"/>
          <w:lang w:val="en-GB"/>
        </w:rPr>
        <w:t xml:space="preserve"> </w:t>
      </w:r>
      <w:r w:rsidR="00766CE9" w:rsidRPr="00695D7A">
        <w:rPr>
          <w:rStyle w:val="st"/>
          <w:lang w:val="en-GB"/>
        </w:rPr>
        <w:t>the submission of comments</w:t>
      </w:r>
      <w:r w:rsidR="009373F7" w:rsidRPr="00695D7A">
        <w:rPr>
          <w:rStyle w:val="st"/>
          <w:lang w:val="en-GB"/>
        </w:rPr>
        <w:t xml:space="preserve"> </w:t>
      </w:r>
      <w:r w:rsidR="003F57D7" w:rsidRPr="00695D7A">
        <w:rPr>
          <w:rStyle w:val="st"/>
          <w:lang w:val="en-GB"/>
        </w:rPr>
        <w:t>before</w:t>
      </w:r>
      <w:r w:rsidR="009373F7" w:rsidRPr="00695D7A">
        <w:rPr>
          <w:rStyle w:val="st"/>
          <w:lang w:val="en-GB"/>
        </w:rPr>
        <w:t xml:space="preserve"> 5 December 2012 (in writing, by email </w:t>
      </w:r>
      <w:r w:rsidR="00F468C2" w:rsidRPr="00695D7A">
        <w:rPr>
          <w:rStyle w:val="st"/>
          <w:lang w:val="en-GB"/>
        </w:rPr>
        <w:t>or orally),</w:t>
      </w:r>
      <w:r w:rsidR="00515D78" w:rsidRPr="00695D7A">
        <w:rPr>
          <w:rStyle w:val="st"/>
          <w:lang w:val="en-GB"/>
        </w:rPr>
        <w:t xml:space="preserve"> </w:t>
      </w:r>
      <w:r w:rsidR="003F57D7" w:rsidRPr="00695D7A">
        <w:rPr>
          <w:rStyle w:val="st"/>
          <w:lang w:val="en-GB"/>
        </w:rPr>
        <w:t>provided</w:t>
      </w:r>
      <w:r w:rsidR="00F468C2" w:rsidRPr="00695D7A">
        <w:rPr>
          <w:rStyle w:val="st"/>
          <w:lang w:val="en-GB"/>
        </w:rPr>
        <w:t xml:space="preserve"> the website</w:t>
      </w:r>
      <w:r w:rsidR="00515D78" w:rsidRPr="00695D7A">
        <w:rPr>
          <w:rStyle w:val="st"/>
          <w:lang w:val="en-GB"/>
        </w:rPr>
        <w:t xml:space="preserve"> </w:t>
      </w:r>
      <w:r w:rsidR="003F57D7" w:rsidRPr="00695D7A">
        <w:rPr>
          <w:rStyle w:val="st"/>
          <w:lang w:val="en-GB"/>
        </w:rPr>
        <w:t>where the dossier for the procedure could</w:t>
      </w:r>
      <w:r w:rsidR="009373F7" w:rsidRPr="00695D7A">
        <w:rPr>
          <w:rStyle w:val="st"/>
          <w:lang w:val="en-GB"/>
        </w:rPr>
        <w:t xml:space="preserve"> be found and </w:t>
      </w:r>
      <w:r w:rsidR="003F57D7" w:rsidRPr="00695D7A">
        <w:rPr>
          <w:rStyle w:val="st"/>
          <w:lang w:val="en-GB"/>
        </w:rPr>
        <w:t>announced</w:t>
      </w:r>
      <w:r w:rsidR="009373F7" w:rsidRPr="00695D7A">
        <w:rPr>
          <w:rStyle w:val="st"/>
          <w:lang w:val="en-GB"/>
        </w:rPr>
        <w:t xml:space="preserve"> </w:t>
      </w:r>
      <w:r w:rsidR="003F57D7" w:rsidRPr="00695D7A">
        <w:rPr>
          <w:rStyle w:val="st"/>
          <w:lang w:val="en-GB"/>
        </w:rPr>
        <w:t xml:space="preserve">an </w:t>
      </w:r>
      <w:r w:rsidR="009373F7" w:rsidRPr="00695D7A">
        <w:rPr>
          <w:rStyle w:val="st"/>
          <w:lang w:val="en-GB"/>
        </w:rPr>
        <w:t>information evening concerning the preliminary decision on Wednes</w:t>
      </w:r>
      <w:r w:rsidR="00F468C2" w:rsidRPr="00695D7A">
        <w:rPr>
          <w:rStyle w:val="st"/>
          <w:lang w:val="en-GB"/>
        </w:rPr>
        <w:t xml:space="preserve">day 7 November 2012 </w:t>
      </w:r>
      <w:r w:rsidR="009373F7" w:rsidRPr="00695D7A">
        <w:rPr>
          <w:rStyle w:val="st"/>
          <w:lang w:val="en-GB"/>
        </w:rPr>
        <w:t>in Heinkenszand</w:t>
      </w:r>
      <w:r w:rsidR="00163457" w:rsidRPr="00695D7A">
        <w:rPr>
          <w:rStyle w:val="st"/>
          <w:lang w:val="en-GB"/>
        </w:rPr>
        <w:t xml:space="preserve">, a town in the vicinity of the </w:t>
      </w:r>
      <w:r w:rsidR="00766CE9" w:rsidRPr="00695D7A">
        <w:rPr>
          <w:rStyle w:val="st"/>
          <w:lang w:val="en-GB"/>
        </w:rPr>
        <w:t xml:space="preserve">Borssele </w:t>
      </w:r>
      <w:r w:rsidR="00163457" w:rsidRPr="00695D7A">
        <w:rPr>
          <w:rStyle w:val="st"/>
          <w:lang w:val="en-GB"/>
        </w:rPr>
        <w:t>NPP</w:t>
      </w:r>
      <w:r w:rsidR="00F26C09" w:rsidRPr="00695D7A">
        <w:rPr>
          <w:rStyle w:val="st"/>
          <w:lang w:val="en-GB"/>
        </w:rPr>
        <w:t>.</w:t>
      </w:r>
      <w:r w:rsidR="0014046C" w:rsidRPr="00695D7A">
        <w:rPr>
          <w:rStyle w:val="FootnoteReference"/>
          <w:lang w:val="en-GB"/>
        </w:rPr>
        <w:footnoteReference w:id="24"/>
      </w:r>
      <w:bookmarkEnd w:id="4"/>
    </w:p>
    <w:p w:rsidR="00F53A57" w:rsidRPr="00695D7A" w:rsidRDefault="00DE1849" w:rsidP="00A734E7">
      <w:pPr>
        <w:pStyle w:val="SingleTxtG"/>
        <w:numPr>
          <w:ilvl w:val="0"/>
          <w:numId w:val="3"/>
        </w:numPr>
        <w:ind w:left="1134" w:right="0" w:firstLine="0"/>
        <w:rPr>
          <w:rStyle w:val="st"/>
          <w:lang w:val="en-GB"/>
        </w:rPr>
      </w:pPr>
      <w:r w:rsidRPr="00695D7A">
        <w:rPr>
          <w:rStyle w:val="st"/>
          <w:lang w:val="en-GB"/>
        </w:rPr>
        <w:t xml:space="preserve">On </w:t>
      </w:r>
      <w:r w:rsidR="00F468C2" w:rsidRPr="00695D7A">
        <w:rPr>
          <w:rStyle w:val="st"/>
          <w:lang w:val="en-GB"/>
        </w:rPr>
        <w:t>4 December 2012</w:t>
      </w:r>
      <w:r w:rsidR="00BD1777" w:rsidRPr="00695D7A">
        <w:rPr>
          <w:rStyle w:val="st"/>
          <w:lang w:val="en-GB"/>
        </w:rPr>
        <w:t>,</w:t>
      </w:r>
      <w:r w:rsidR="00F468C2" w:rsidRPr="00695D7A">
        <w:rPr>
          <w:rStyle w:val="st"/>
          <w:lang w:val="en-GB"/>
        </w:rPr>
        <w:t xml:space="preserve"> </w:t>
      </w:r>
      <w:r w:rsidR="00BD1777" w:rsidRPr="00695D7A">
        <w:rPr>
          <w:rStyle w:val="st"/>
          <w:lang w:val="en-GB"/>
        </w:rPr>
        <w:t xml:space="preserve">the communicant </w:t>
      </w:r>
      <w:r w:rsidR="00F468C2" w:rsidRPr="00695D7A">
        <w:rPr>
          <w:rStyle w:val="st"/>
          <w:lang w:val="en-GB"/>
        </w:rPr>
        <w:t xml:space="preserve">wrote </w:t>
      </w:r>
      <w:r w:rsidRPr="00695D7A">
        <w:rPr>
          <w:rStyle w:val="st"/>
          <w:lang w:val="en-GB"/>
        </w:rPr>
        <w:t xml:space="preserve">to the Minister of Economic Affairs challenging the intended </w:t>
      </w:r>
      <w:r w:rsidR="00BD1777" w:rsidRPr="00695D7A">
        <w:rPr>
          <w:rStyle w:val="st"/>
          <w:lang w:val="en-GB"/>
        </w:rPr>
        <w:t xml:space="preserve">design </w:t>
      </w:r>
      <w:r w:rsidRPr="00695D7A">
        <w:rPr>
          <w:rStyle w:val="st"/>
          <w:lang w:val="en-GB"/>
        </w:rPr>
        <w:t xml:space="preserve">life time extension and the draft </w:t>
      </w:r>
      <w:r w:rsidR="00766CE9" w:rsidRPr="00695D7A">
        <w:rPr>
          <w:rStyle w:val="st"/>
          <w:lang w:val="en-GB"/>
        </w:rPr>
        <w:t>decision to grant the licence</w:t>
      </w:r>
      <w:r w:rsidRPr="00695D7A">
        <w:rPr>
          <w:rStyle w:val="st"/>
          <w:lang w:val="en-GB"/>
        </w:rPr>
        <w:t>.</w:t>
      </w:r>
      <w:r w:rsidR="00292775" w:rsidRPr="00695D7A">
        <w:rPr>
          <w:rStyle w:val="FootnoteReference"/>
          <w:lang w:val="en-GB"/>
        </w:rPr>
        <w:footnoteReference w:id="25"/>
      </w:r>
    </w:p>
    <w:p w:rsidR="00407035" w:rsidRPr="00695D7A" w:rsidRDefault="00407035" w:rsidP="00A734E7">
      <w:pPr>
        <w:pStyle w:val="SingleTxtG"/>
        <w:numPr>
          <w:ilvl w:val="0"/>
          <w:numId w:val="3"/>
        </w:numPr>
        <w:ind w:left="1134" w:right="0" w:firstLine="0"/>
        <w:rPr>
          <w:rStyle w:val="st"/>
          <w:lang w:val="en-GB"/>
        </w:rPr>
      </w:pPr>
      <w:bookmarkStart w:id="5" w:name="_Ref431990738"/>
      <w:r w:rsidRPr="00695D7A">
        <w:rPr>
          <w:rStyle w:val="st"/>
          <w:lang w:val="en-GB"/>
        </w:rPr>
        <w:t xml:space="preserve">On 18 March 2013 the Ministry of Economic Affairs granted the </w:t>
      </w:r>
      <w:r w:rsidR="0046030A">
        <w:rPr>
          <w:rStyle w:val="st"/>
          <w:lang w:val="en-GB"/>
        </w:rPr>
        <w:t>licence</w:t>
      </w:r>
      <w:r w:rsidRPr="00695D7A">
        <w:rPr>
          <w:rStyle w:val="st"/>
          <w:lang w:val="en-GB"/>
        </w:rPr>
        <w:t xml:space="preserve"> for the extension of the desig</w:t>
      </w:r>
      <w:r w:rsidR="009B333D" w:rsidRPr="00695D7A">
        <w:rPr>
          <w:rStyle w:val="st"/>
          <w:lang w:val="en-GB"/>
        </w:rPr>
        <w:t>n lifetime of the Borssele NPP.</w:t>
      </w:r>
      <w:r w:rsidRPr="00695D7A">
        <w:rPr>
          <w:rStyle w:val="FootnoteReference"/>
          <w:lang w:val="en-GB"/>
        </w:rPr>
        <w:footnoteReference w:id="26"/>
      </w:r>
      <w:bookmarkEnd w:id="5"/>
    </w:p>
    <w:p w:rsidR="0040249C" w:rsidRPr="00695D7A" w:rsidRDefault="009616A0" w:rsidP="00A734E7">
      <w:pPr>
        <w:pStyle w:val="SingleTxtG"/>
        <w:numPr>
          <w:ilvl w:val="0"/>
          <w:numId w:val="3"/>
        </w:numPr>
        <w:tabs>
          <w:tab w:val="num" w:pos="1887"/>
        </w:tabs>
        <w:ind w:left="1134" w:right="0" w:firstLine="0"/>
        <w:rPr>
          <w:rStyle w:val="st"/>
          <w:lang w:val="en-GB"/>
        </w:rPr>
      </w:pPr>
      <w:r w:rsidRPr="00695D7A">
        <w:rPr>
          <w:rStyle w:val="st"/>
          <w:lang w:val="en-GB"/>
        </w:rPr>
        <w:t>On 20 March 2013</w:t>
      </w:r>
      <w:r w:rsidR="0063163D" w:rsidRPr="00695D7A">
        <w:rPr>
          <w:rStyle w:val="st"/>
          <w:lang w:val="en-GB"/>
        </w:rPr>
        <w:t>, the Minist</w:t>
      </w:r>
      <w:r w:rsidR="003F57D7" w:rsidRPr="00695D7A">
        <w:rPr>
          <w:rStyle w:val="st"/>
          <w:lang w:val="en-GB"/>
        </w:rPr>
        <w:t xml:space="preserve">ry of Economic Affairs </w:t>
      </w:r>
      <w:r w:rsidRPr="00695D7A">
        <w:rPr>
          <w:rStyle w:val="st"/>
          <w:lang w:val="en-GB"/>
        </w:rPr>
        <w:t>issued a notification announcing the decision</w:t>
      </w:r>
      <w:r w:rsidR="00766CE9" w:rsidRPr="00695D7A">
        <w:rPr>
          <w:rStyle w:val="st"/>
          <w:lang w:val="en-GB"/>
        </w:rPr>
        <w:t xml:space="preserve">. The notification stated that </w:t>
      </w:r>
      <w:r w:rsidR="0063163D" w:rsidRPr="00695D7A">
        <w:rPr>
          <w:rStyle w:val="st"/>
          <w:lang w:val="en-GB"/>
        </w:rPr>
        <w:t xml:space="preserve">the </w:t>
      </w:r>
      <w:r w:rsidR="0046030A">
        <w:rPr>
          <w:rStyle w:val="st"/>
          <w:lang w:val="en-GB"/>
        </w:rPr>
        <w:t>licence</w:t>
      </w:r>
      <w:r w:rsidR="0063163D" w:rsidRPr="00695D7A">
        <w:rPr>
          <w:rStyle w:val="st"/>
          <w:lang w:val="en-GB"/>
        </w:rPr>
        <w:t xml:space="preserve"> for the extension of the design life </w:t>
      </w:r>
      <w:r w:rsidR="009B333D" w:rsidRPr="00695D7A">
        <w:rPr>
          <w:rStyle w:val="st"/>
          <w:lang w:val="en-GB"/>
        </w:rPr>
        <w:t>wa</w:t>
      </w:r>
      <w:r w:rsidR="0063163D" w:rsidRPr="00695D7A">
        <w:rPr>
          <w:rStyle w:val="st"/>
          <w:lang w:val="en-GB"/>
        </w:rPr>
        <w:t>s available for public perusal</w:t>
      </w:r>
      <w:r w:rsidR="00766CE9" w:rsidRPr="00695D7A">
        <w:rPr>
          <w:rStyle w:val="st"/>
          <w:lang w:val="en-GB"/>
        </w:rPr>
        <w:t xml:space="preserve"> from 21 March to 2 May 2013</w:t>
      </w:r>
      <w:r w:rsidR="0063163D" w:rsidRPr="00695D7A">
        <w:rPr>
          <w:rStyle w:val="st"/>
          <w:lang w:val="en-GB"/>
        </w:rPr>
        <w:t xml:space="preserve">. </w:t>
      </w:r>
      <w:r w:rsidR="00766CE9" w:rsidRPr="00695D7A">
        <w:rPr>
          <w:rStyle w:val="st"/>
          <w:lang w:val="en-GB"/>
        </w:rPr>
        <w:t>It</w:t>
      </w:r>
      <w:r w:rsidR="0063163D" w:rsidRPr="00695D7A">
        <w:rPr>
          <w:rStyle w:val="st"/>
          <w:lang w:val="en-GB"/>
        </w:rPr>
        <w:t xml:space="preserve"> also</w:t>
      </w:r>
      <w:r w:rsidR="00410916" w:rsidRPr="00695D7A">
        <w:rPr>
          <w:rStyle w:val="st"/>
          <w:lang w:val="en-GB"/>
        </w:rPr>
        <w:t xml:space="preserve"> stat</w:t>
      </w:r>
      <w:r w:rsidR="00561CED" w:rsidRPr="00695D7A">
        <w:rPr>
          <w:rStyle w:val="st"/>
          <w:lang w:val="en-GB"/>
        </w:rPr>
        <w:t>ed</w:t>
      </w:r>
      <w:r w:rsidR="0063163D" w:rsidRPr="00695D7A">
        <w:rPr>
          <w:rStyle w:val="st"/>
          <w:lang w:val="en-GB"/>
        </w:rPr>
        <w:t xml:space="preserve"> that interested parties c</w:t>
      </w:r>
      <w:r w:rsidR="009B333D" w:rsidRPr="00695D7A">
        <w:rPr>
          <w:rStyle w:val="st"/>
          <w:lang w:val="en-GB"/>
        </w:rPr>
        <w:t>ould</w:t>
      </w:r>
      <w:r w:rsidR="0063163D" w:rsidRPr="00695D7A">
        <w:rPr>
          <w:rStyle w:val="st"/>
          <w:lang w:val="en-GB"/>
        </w:rPr>
        <w:t xml:space="preserve"> lodge an appeal with the Administrative Law Division</w:t>
      </w:r>
      <w:r w:rsidR="00410916" w:rsidRPr="00695D7A">
        <w:rPr>
          <w:rStyle w:val="st"/>
          <w:lang w:val="en-GB"/>
        </w:rPr>
        <w:t xml:space="preserve"> of the Council of State until </w:t>
      </w:r>
      <w:r w:rsidR="0063163D" w:rsidRPr="00695D7A">
        <w:rPr>
          <w:rStyle w:val="st"/>
          <w:lang w:val="en-GB"/>
        </w:rPr>
        <w:t>2 May 2013.</w:t>
      </w:r>
      <w:r w:rsidR="0063163D" w:rsidRPr="00695D7A">
        <w:rPr>
          <w:rStyle w:val="FootnoteReference"/>
          <w:lang w:val="en-GB"/>
        </w:rPr>
        <w:footnoteReference w:id="27"/>
      </w:r>
    </w:p>
    <w:p w:rsidR="00E427EE" w:rsidRPr="00695D7A" w:rsidRDefault="00E427EE" w:rsidP="00A734E7">
      <w:pPr>
        <w:pStyle w:val="H1G"/>
        <w:numPr>
          <w:ilvl w:val="0"/>
          <w:numId w:val="4"/>
        </w:numPr>
        <w:ind w:left="1134" w:right="0" w:firstLine="0"/>
      </w:pPr>
      <w:r w:rsidRPr="00695D7A">
        <w:lastRenderedPageBreak/>
        <w:t xml:space="preserve">Domestic remedies and </w:t>
      </w:r>
      <w:r w:rsidR="00830F51" w:rsidRPr="00695D7A">
        <w:t>admissibility</w:t>
      </w:r>
      <w:r w:rsidR="003B6EBB" w:rsidRPr="00695D7A">
        <w:t xml:space="preserve"> </w:t>
      </w:r>
    </w:p>
    <w:p w:rsidR="00C65421" w:rsidRPr="00695D7A" w:rsidRDefault="00E073C8" w:rsidP="00E62030">
      <w:pPr>
        <w:pStyle w:val="SingleTxtG"/>
        <w:numPr>
          <w:ilvl w:val="0"/>
          <w:numId w:val="3"/>
        </w:numPr>
        <w:tabs>
          <w:tab w:val="num" w:pos="1887"/>
        </w:tabs>
        <w:ind w:left="1134" w:right="0" w:firstLine="0"/>
        <w:rPr>
          <w:rStyle w:val="st"/>
          <w:lang w:val="en-GB"/>
        </w:rPr>
      </w:pPr>
      <w:r w:rsidRPr="00695D7A">
        <w:rPr>
          <w:rStyle w:val="st"/>
          <w:lang w:val="en-GB"/>
        </w:rPr>
        <w:t>The</w:t>
      </w:r>
      <w:r w:rsidR="00385DB5" w:rsidRPr="00695D7A">
        <w:rPr>
          <w:rStyle w:val="st"/>
          <w:lang w:val="en-GB"/>
        </w:rPr>
        <w:t xml:space="preserve"> communicant </w:t>
      </w:r>
      <w:r w:rsidRPr="00695D7A">
        <w:rPr>
          <w:rStyle w:val="st"/>
          <w:lang w:val="en-GB"/>
        </w:rPr>
        <w:t xml:space="preserve">appealed the </w:t>
      </w:r>
      <w:r w:rsidR="0054177F">
        <w:rPr>
          <w:rStyle w:val="st"/>
          <w:lang w:val="en-GB"/>
        </w:rPr>
        <w:t xml:space="preserve">18 March 2013 </w:t>
      </w:r>
      <w:r w:rsidRPr="00695D7A">
        <w:rPr>
          <w:rStyle w:val="st"/>
          <w:lang w:val="en-GB"/>
        </w:rPr>
        <w:t xml:space="preserve">decision of the Ministry </w:t>
      </w:r>
      <w:r w:rsidR="00766CE9" w:rsidRPr="00695D7A">
        <w:rPr>
          <w:rStyle w:val="st"/>
          <w:lang w:val="en-GB"/>
        </w:rPr>
        <w:t xml:space="preserve">of Economic Affairs </w:t>
      </w:r>
      <w:r w:rsidRPr="00695D7A">
        <w:rPr>
          <w:rStyle w:val="st"/>
          <w:lang w:val="en-GB"/>
        </w:rPr>
        <w:t xml:space="preserve">to </w:t>
      </w:r>
      <w:r w:rsidR="00766CE9" w:rsidRPr="00695D7A">
        <w:rPr>
          <w:rStyle w:val="st"/>
          <w:lang w:val="en-GB"/>
        </w:rPr>
        <w:t xml:space="preserve">grant </w:t>
      </w:r>
      <w:r w:rsidRPr="00695D7A">
        <w:rPr>
          <w:rStyle w:val="st"/>
          <w:lang w:val="en-GB"/>
        </w:rPr>
        <w:t xml:space="preserve">a licence to the </w:t>
      </w:r>
      <w:r w:rsidR="009B333D" w:rsidRPr="00695D7A">
        <w:rPr>
          <w:rStyle w:val="st"/>
          <w:lang w:val="en-GB"/>
        </w:rPr>
        <w:t xml:space="preserve">Raad van State, </w:t>
      </w:r>
      <w:r w:rsidRPr="00695D7A">
        <w:rPr>
          <w:rStyle w:val="st"/>
          <w:lang w:val="en-GB"/>
        </w:rPr>
        <w:t>the country’s highest general administrative court</w:t>
      </w:r>
      <w:r w:rsidR="009B333D" w:rsidRPr="00695D7A">
        <w:rPr>
          <w:rStyle w:val="st"/>
          <w:lang w:val="en-GB"/>
        </w:rPr>
        <w:t>. By decision of 19 February 2014, the court rejected the communicant’s claims.</w:t>
      </w:r>
      <w:r w:rsidR="009616A0" w:rsidRPr="00695D7A">
        <w:rPr>
          <w:rStyle w:val="FootnoteReference"/>
          <w:lang w:val="en-GB"/>
        </w:rPr>
        <w:footnoteReference w:id="28"/>
      </w:r>
      <w:r w:rsidR="00A71909" w:rsidRPr="00695D7A">
        <w:rPr>
          <w:rStyle w:val="st"/>
          <w:lang w:val="en-GB"/>
        </w:rPr>
        <w:t xml:space="preserve"> </w:t>
      </w:r>
      <w:bookmarkStart w:id="6" w:name="_Ref499400654"/>
      <w:r w:rsidR="00C65421" w:rsidRPr="00695D7A">
        <w:rPr>
          <w:rStyle w:val="st"/>
          <w:lang w:val="en-GB"/>
        </w:rPr>
        <w:t xml:space="preserve">The communicant </w:t>
      </w:r>
      <w:r w:rsidR="009B333D" w:rsidRPr="00695D7A">
        <w:rPr>
          <w:rStyle w:val="st"/>
          <w:lang w:val="en-GB"/>
        </w:rPr>
        <w:t xml:space="preserve">submits </w:t>
      </w:r>
      <w:r w:rsidR="00C65421" w:rsidRPr="00695D7A">
        <w:rPr>
          <w:rStyle w:val="st"/>
          <w:lang w:val="en-GB"/>
        </w:rPr>
        <w:t xml:space="preserve">that </w:t>
      </w:r>
      <w:r w:rsidR="002D5262" w:rsidRPr="00695D7A">
        <w:rPr>
          <w:rStyle w:val="st"/>
          <w:lang w:val="en-GB"/>
        </w:rPr>
        <w:t xml:space="preserve">the </w:t>
      </w:r>
      <w:r w:rsidR="009616A0" w:rsidRPr="00695D7A">
        <w:rPr>
          <w:rStyle w:val="st"/>
          <w:lang w:val="en-GB"/>
        </w:rPr>
        <w:t xml:space="preserve">available </w:t>
      </w:r>
      <w:r w:rsidR="00C65421" w:rsidRPr="00695D7A">
        <w:rPr>
          <w:rStyle w:val="st"/>
          <w:lang w:val="en-GB"/>
        </w:rPr>
        <w:t xml:space="preserve">legal procedures </w:t>
      </w:r>
      <w:r w:rsidR="002D5262" w:rsidRPr="00695D7A">
        <w:rPr>
          <w:rStyle w:val="st"/>
          <w:lang w:val="en-GB"/>
        </w:rPr>
        <w:t xml:space="preserve">were </w:t>
      </w:r>
      <w:r w:rsidR="00BD1777" w:rsidRPr="00695D7A">
        <w:rPr>
          <w:rStyle w:val="st"/>
          <w:lang w:val="en-GB"/>
        </w:rPr>
        <w:t xml:space="preserve">thereby </w:t>
      </w:r>
      <w:r w:rsidR="00000DBE" w:rsidRPr="00695D7A">
        <w:rPr>
          <w:rStyle w:val="st"/>
          <w:lang w:val="en-GB"/>
        </w:rPr>
        <w:t>exhausted</w:t>
      </w:r>
      <w:r w:rsidR="009616A0" w:rsidRPr="00695D7A">
        <w:rPr>
          <w:rStyle w:val="st"/>
          <w:lang w:val="en-GB"/>
        </w:rPr>
        <w:t>.</w:t>
      </w:r>
      <w:r w:rsidR="009616A0" w:rsidRPr="00695D7A">
        <w:rPr>
          <w:rStyle w:val="FootnoteReference"/>
          <w:lang w:val="en-GB"/>
        </w:rPr>
        <w:footnoteReference w:id="29"/>
      </w:r>
      <w:bookmarkEnd w:id="6"/>
    </w:p>
    <w:p w:rsidR="00BD1777" w:rsidRPr="00695D7A" w:rsidRDefault="00BD1777" w:rsidP="00A734E7">
      <w:pPr>
        <w:pStyle w:val="SingleTxtG"/>
        <w:numPr>
          <w:ilvl w:val="0"/>
          <w:numId w:val="3"/>
        </w:numPr>
        <w:tabs>
          <w:tab w:val="num" w:pos="1887"/>
        </w:tabs>
        <w:ind w:left="1134" w:right="0" w:firstLine="0"/>
        <w:rPr>
          <w:rStyle w:val="st"/>
          <w:lang w:val="en-GB"/>
        </w:rPr>
      </w:pPr>
      <w:r w:rsidRPr="00695D7A">
        <w:rPr>
          <w:rStyle w:val="st"/>
          <w:lang w:val="en-GB"/>
        </w:rPr>
        <w:t>The Party concerned did not challenge the admissibility of the communication.</w:t>
      </w:r>
      <w:r w:rsidR="00766CE9" w:rsidRPr="00695D7A">
        <w:rPr>
          <w:rStyle w:val="st"/>
          <w:lang w:val="en-GB"/>
        </w:rPr>
        <w:t xml:space="preserve"> It does, however, request a deferral. </w:t>
      </w:r>
    </w:p>
    <w:p w:rsidR="005B19C7" w:rsidRPr="00695D7A" w:rsidRDefault="005B19C7" w:rsidP="00A734E7">
      <w:pPr>
        <w:pStyle w:val="SingleTxtG"/>
        <w:numPr>
          <w:ilvl w:val="0"/>
          <w:numId w:val="3"/>
        </w:numPr>
        <w:tabs>
          <w:tab w:val="num" w:pos="1887"/>
        </w:tabs>
        <w:ind w:left="1134" w:right="0" w:firstLine="0"/>
        <w:rPr>
          <w:rStyle w:val="st"/>
          <w:lang w:val="en-GB"/>
        </w:rPr>
      </w:pPr>
      <w:bookmarkStart w:id="7" w:name="_Ref499217150"/>
      <w:r w:rsidRPr="00695D7A">
        <w:rPr>
          <w:rStyle w:val="st"/>
          <w:lang w:val="en-GB"/>
        </w:rPr>
        <w:t>The Party concerned</w:t>
      </w:r>
      <w:r w:rsidR="00077B30" w:rsidRPr="00695D7A">
        <w:rPr>
          <w:rStyle w:val="st"/>
          <w:lang w:val="en-GB"/>
        </w:rPr>
        <w:t xml:space="preserve"> </w:t>
      </w:r>
      <w:r w:rsidR="009B333D" w:rsidRPr="00695D7A">
        <w:rPr>
          <w:rStyle w:val="st"/>
          <w:lang w:val="en-GB"/>
        </w:rPr>
        <w:t>states</w:t>
      </w:r>
      <w:r w:rsidR="00762DC0" w:rsidRPr="00695D7A">
        <w:rPr>
          <w:rStyle w:val="st"/>
          <w:lang w:val="en-GB"/>
        </w:rPr>
        <w:t xml:space="preserve"> that </w:t>
      </w:r>
      <w:r w:rsidR="00077B30" w:rsidRPr="00695D7A">
        <w:rPr>
          <w:rStyle w:val="st"/>
          <w:lang w:val="en-GB"/>
        </w:rPr>
        <w:t xml:space="preserve">on 19 September 2014, the Implementation Committee </w:t>
      </w:r>
      <w:r w:rsidR="008054D8" w:rsidRPr="00695D7A">
        <w:rPr>
          <w:rStyle w:val="st"/>
          <w:lang w:val="en-GB"/>
        </w:rPr>
        <w:t xml:space="preserve">of </w:t>
      </w:r>
      <w:r w:rsidR="00077B30" w:rsidRPr="00695D7A">
        <w:rPr>
          <w:rStyle w:val="st"/>
          <w:lang w:val="en-GB"/>
        </w:rPr>
        <w:t xml:space="preserve">the Espoo Convention requested </w:t>
      </w:r>
      <w:r w:rsidR="00A71909" w:rsidRPr="00695D7A">
        <w:rPr>
          <w:rStyle w:val="st"/>
          <w:lang w:val="en-GB"/>
        </w:rPr>
        <w:t>it</w:t>
      </w:r>
      <w:r w:rsidR="00077B30" w:rsidRPr="00695D7A">
        <w:rPr>
          <w:rStyle w:val="st"/>
          <w:lang w:val="en-GB"/>
        </w:rPr>
        <w:t xml:space="preserve"> to provide clarification and information regarding the planned extension of the design lifetime of the Borssele NPP</w:t>
      </w:r>
      <w:r w:rsidR="008054D8" w:rsidRPr="00695D7A">
        <w:rPr>
          <w:rStyle w:val="st"/>
          <w:lang w:val="en-GB"/>
        </w:rPr>
        <w:t xml:space="preserve"> and that </w:t>
      </w:r>
      <w:r w:rsidR="004131FA">
        <w:rPr>
          <w:rStyle w:val="st"/>
          <w:lang w:val="en-GB"/>
        </w:rPr>
        <w:t>that</w:t>
      </w:r>
      <w:r w:rsidR="008054D8" w:rsidRPr="00695D7A">
        <w:rPr>
          <w:rStyle w:val="st"/>
          <w:lang w:val="en-GB"/>
        </w:rPr>
        <w:t xml:space="preserve"> Committee</w:t>
      </w:r>
      <w:r w:rsidR="004131FA">
        <w:rPr>
          <w:rStyle w:val="st"/>
          <w:lang w:val="en-GB"/>
        </w:rPr>
        <w:t>’s investigation is ongoing</w:t>
      </w:r>
      <w:r w:rsidR="00077B30" w:rsidRPr="00695D7A">
        <w:rPr>
          <w:rStyle w:val="st"/>
          <w:lang w:val="en-GB"/>
        </w:rPr>
        <w:t xml:space="preserve">. </w:t>
      </w:r>
      <w:r w:rsidRPr="00695D7A">
        <w:rPr>
          <w:rStyle w:val="st"/>
          <w:lang w:val="en-GB"/>
        </w:rPr>
        <w:t xml:space="preserve">The Party concerned </w:t>
      </w:r>
      <w:r w:rsidR="008054D8" w:rsidRPr="00695D7A">
        <w:rPr>
          <w:rStyle w:val="st"/>
          <w:lang w:val="en-GB"/>
        </w:rPr>
        <w:t xml:space="preserve">submits </w:t>
      </w:r>
      <w:r w:rsidRPr="00695D7A">
        <w:rPr>
          <w:rStyle w:val="st"/>
          <w:lang w:val="en-GB"/>
        </w:rPr>
        <w:t>that</w:t>
      </w:r>
      <w:r w:rsidR="00077B30" w:rsidRPr="00695D7A">
        <w:rPr>
          <w:rStyle w:val="st"/>
          <w:lang w:val="en-GB"/>
        </w:rPr>
        <w:t xml:space="preserve"> </w:t>
      </w:r>
      <w:r w:rsidR="008054D8" w:rsidRPr="00695D7A">
        <w:rPr>
          <w:rStyle w:val="st"/>
          <w:lang w:val="en-GB"/>
        </w:rPr>
        <w:t xml:space="preserve">the </w:t>
      </w:r>
      <w:r w:rsidR="00077B30" w:rsidRPr="00695D7A">
        <w:rPr>
          <w:rStyle w:val="st"/>
          <w:lang w:val="en-GB"/>
        </w:rPr>
        <w:t xml:space="preserve">inquiry under the Espoo Convention aims to determine whether the extension of the design lifetime of the Borssele NPP constitutes an activity within the meaning of the Espoo Convention for which a transboundary </w:t>
      </w:r>
      <w:r w:rsidR="008054D8" w:rsidRPr="00695D7A">
        <w:rPr>
          <w:rStyle w:val="st"/>
          <w:lang w:val="en-GB"/>
        </w:rPr>
        <w:t xml:space="preserve">environmental impact assessment </w:t>
      </w:r>
      <w:r w:rsidR="00077B30" w:rsidRPr="00695D7A">
        <w:rPr>
          <w:rStyle w:val="st"/>
          <w:lang w:val="en-GB"/>
        </w:rPr>
        <w:t>should be carried out.</w:t>
      </w:r>
      <w:r w:rsidRPr="00695D7A">
        <w:rPr>
          <w:rStyle w:val="st"/>
          <w:lang w:val="en-GB"/>
        </w:rPr>
        <w:t xml:space="preserve"> The Party concerned </w:t>
      </w:r>
      <w:r w:rsidR="00BD1777" w:rsidRPr="00695D7A">
        <w:rPr>
          <w:rStyle w:val="st"/>
          <w:lang w:val="en-GB"/>
        </w:rPr>
        <w:t xml:space="preserve">submits </w:t>
      </w:r>
      <w:r w:rsidRPr="00695D7A">
        <w:rPr>
          <w:rStyle w:val="st"/>
          <w:lang w:val="en-GB"/>
        </w:rPr>
        <w:t xml:space="preserve">that the process of establishing whether the extension of the design lifetime requires the conduct of a transboundary </w:t>
      </w:r>
      <w:r w:rsidR="007B3257" w:rsidRPr="00695D7A">
        <w:rPr>
          <w:rStyle w:val="st"/>
          <w:lang w:val="en-GB"/>
        </w:rPr>
        <w:t xml:space="preserve">environmental impact assessment </w:t>
      </w:r>
      <w:r w:rsidRPr="00695D7A">
        <w:rPr>
          <w:rStyle w:val="st"/>
          <w:lang w:val="en-GB"/>
        </w:rPr>
        <w:t xml:space="preserve">under the Espoo Convention is related to the process of establishing whether the extension of the design lifetime is subject to </w:t>
      </w:r>
      <w:r w:rsidR="00AB4849" w:rsidRPr="00695D7A">
        <w:rPr>
          <w:rStyle w:val="st"/>
          <w:lang w:val="en-GB"/>
        </w:rPr>
        <w:t xml:space="preserve">article </w:t>
      </w:r>
      <w:r w:rsidRPr="00695D7A">
        <w:rPr>
          <w:rStyle w:val="st"/>
          <w:lang w:val="en-GB"/>
        </w:rPr>
        <w:t xml:space="preserve">6, paragraph 2 (e), of the Aarhus Convention. </w:t>
      </w:r>
      <w:r w:rsidR="00BD1777" w:rsidRPr="00695D7A">
        <w:rPr>
          <w:rStyle w:val="st"/>
          <w:lang w:val="en-GB"/>
        </w:rPr>
        <w:t>It</w:t>
      </w:r>
      <w:r w:rsidRPr="00695D7A">
        <w:rPr>
          <w:rStyle w:val="st"/>
          <w:lang w:val="en-GB"/>
        </w:rPr>
        <w:t xml:space="preserve"> </w:t>
      </w:r>
      <w:r w:rsidR="00AB4849" w:rsidRPr="00695D7A">
        <w:rPr>
          <w:rStyle w:val="st"/>
          <w:lang w:val="en-GB"/>
        </w:rPr>
        <w:t>refers</w:t>
      </w:r>
      <w:r w:rsidRPr="00695D7A">
        <w:rPr>
          <w:rStyle w:val="st"/>
          <w:lang w:val="en-GB"/>
        </w:rPr>
        <w:t xml:space="preserve"> </w:t>
      </w:r>
      <w:r w:rsidR="00BD1777" w:rsidRPr="00695D7A">
        <w:rPr>
          <w:rStyle w:val="st"/>
          <w:lang w:val="en-GB"/>
        </w:rPr>
        <w:t xml:space="preserve">in that regard </w:t>
      </w:r>
      <w:r w:rsidRPr="00695D7A">
        <w:rPr>
          <w:rStyle w:val="st"/>
          <w:lang w:val="en-GB"/>
        </w:rPr>
        <w:t xml:space="preserve">to the </w:t>
      </w:r>
      <w:r w:rsidR="009B333D" w:rsidRPr="00695D7A">
        <w:rPr>
          <w:rStyle w:val="st"/>
          <w:lang w:val="en-GB"/>
        </w:rPr>
        <w:t>Committee’s findings on submission ACCC/S/2004/01 and communication ACCC/C/2004/03</w:t>
      </w:r>
      <w:r w:rsidR="00A232E3" w:rsidRPr="00695D7A">
        <w:rPr>
          <w:rStyle w:val="st"/>
          <w:lang w:val="en-GB"/>
        </w:rPr>
        <w:t xml:space="preserve"> </w:t>
      </w:r>
      <w:r w:rsidR="00E61528" w:rsidRPr="00695D7A">
        <w:rPr>
          <w:rStyle w:val="st"/>
          <w:lang w:val="en-GB"/>
        </w:rPr>
        <w:t>where</w:t>
      </w:r>
      <w:r w:rsidR="00EB0828" w:rsidRPr="00695D7A">
        <w:rPr>
          <w:rStyle w:val="st"/>
          <w:lang w:val="en-GB"/>
        </w:rPr>
        <w:t xml:space="preserve"> </w:t>
      </w:r>
      <w:r w:rsidRPr="00695D7A">
        <w:rPr>
          <w:rStyle w:val="st"/>
          <w:lang w:val="en-GB"/>
        </w:rPr>
        <w:t xml:space="preserve">the Committee took </w:t>
      </w:r>
      <w:r w:rsidR="00EB0828" w:rsidRPr="00695D7A">
        <w:rPr>
          <w:rStyle w:val="st"/>
          <w:lang w:val="en-GB"/>
        </w:rPr>
        <w:t>“</w:t>
      </w:r>
      <w:r w:rsidRPr="00695D7A">
        <w:rPr>
          <w:rStyle w:val="st"/>
          <w:lang w:val="en-GB"/>
        </w:rPr>
        <w:t>into account the related process of establishing an inquiry commission under the Espoo Convention aimed at determining whether the activity was likely to have a significant transboundary environmental impact” and agreed to “consider the question of compliance with the part of article 6, paragraph 2 (e), relating to environmental impact assessment in a transboundary context in the light of the findings of the inquiry procedure being undertaken under the Espoo Convention”.</w:t>
      </w:r>
      <w:r w:rsidR="007B3257" w:rsidRPr="00695D7A">
        <w:rPr>
          <w:rStyle w:val="FootnoteReference"/>
          <w:lang w:val="en-GB"/>
        </w:rPr>
        <w:footnoteReference w:id="30"/>
      </w:r>
      <w:r w:rsidRPr="00695D7A">
        <w:rPr>
          <w:rStyle w:val="st"/>
          <w:lang w:val="en-GB"/>
        </w:rPr>
        <w:t xml:space="preserve"> The Party concerned</w:t>
      </w:r>
      <w:r w:rsidR="00BD1777" w:rsidRPr="00695D7A">
        <w:rPr>
          <w:rStyle w:val="st"/>
          <w:lang w:val="en-GB"/>
        </w:rPr>
        <w:t xml:space="preserve"> accordingly</w:t>
      </w:r>
      <w:r w:rsidRPr="00695D7A">
        <w:rPr>
          <w:rStyle w:val="st"/>
          <w:lang w:val="en-GB"/>
        </w:rPr>
        <w:t xml:space="preserve"> requests the Committee to defer its consideration of the </w:t>
      </w:r>
      <w:r w:rsidR="00AB4849" w:rsidRPr="00695D7A">
        <w:rPr>
          <w:rStyle w:val="st"/>
          <w:lang w:val="en-GB"/>
        </w:rPr>
        <w:t>communication</w:t>
      </w:r>
      <w:r w:rsidR="00E61528" w:rsidRPr="00695D7A">
        <w:rPr>
          <w:rStyle w:val="st"/>
          <w:lang w:val="en-GB"/>
        </w:rPr>
        <w:t xml:space="preserve"> </w:t>
      </w:r>
      <w:r w:rsidRPr="00695D7A">
        <w:rPr>
          <w:rStyle w:val="st"/>
          <w:lang w:val="en-GB"/>
        </w:rPr>
        <w:t>until such time as the Implementation Committee under the Espoo Convention has reviewed the issue.</w:t>
      </w:r>
      <w:r w:rsidR="00BD1777" w:rsidRPr="00695D7A">
        <w:rPr>
          <w:rStyle w:val="FootnoteReference"/>
          <w:lang w:val="en-GB"/>
        </w:rPr>
        <w:footnoteReference w:id="31"/>
      </w:r>
      <w:bookmarkEnd w:id="7"/>
    </w:p>
    <w:p w:rsidR="00C0445B" w:rsidRPr="00695D7A" w:rsidRDefault="00292775" w:rsidP="00A734E7">
      <w:pPr>
        <w:pStyle w:val="SingleTxtG"/>
        <w:numPr>
          <w:ilvl w:val="0"/>
          <w:numId w:val="3"/>
        </w:numPr>
        <w:tabs>
          <w:tab w:val="num" w:pos="1887"/>
        </w:tabs>
        <w:ind w:left="1134" w:right="0" w:firstLine="0"/>
        <w:rPr>
          <w:rStyle w:val="st"/>
          <w:lang w:val="en-GB"/>
        </w:rPr>
      </w:pPr>
      <w:r w:rsidRPr="00695D7A">
        <w:rPr>
          <w:rStyle w:val="st"/>
          <w:lang w:val="en-GB"/>
        </w:rPr>
        <w:t>T</w:t>
      </w:r>
      <w:r w:rsidR="00C0445B" w:rsidRPr="00695D7A">
        <w:rPr>
          <w:rStyle w:val="st"/>
          <w:lang w:val="en-GB"/>
        </w:rPr>
        <w:t xml:space="preserve">he communicant argues that </w:t>
      </w:r>
      <w:r w:rsidR="009B333D" w:rsidRPr="00695D7A">
        <w:rPr>
          <w:rStyle w:val="st"/>
          <w:lang w:val="en-GB"/>
        </w:rPr>
        <w:t xml:space="preserve">unlike the </w:t>
      </w:r>
      <w:r w:rsidR="005546EA" w:rsidRPr="00695D7A">
        <w:rPr>
          <w:rStyle w:val="st"/>
          <w:lang w:val="en-GB"/>
        </w:rPr>
        <w:t>cases referred to by the Party concerned</w:t>
      </w:r>
      <w:r w:rsidR="009B333D" w:rsidRPr="00695D7A">
        <w:rPr>
          <w:rStyle w:val="st"/>
          <w:lang w:val="en-GB"/>
        </w:rPr>
        <w:t xml:space="preserve">, </w:t>
      </w:r>
      <w:r w:rsidR="00074606" w:rsidRPr="00695D7A">
        <w:rPr>
          <w:rStyle w:val="st"/>
          <w:lang w:val="en-GB"/>
        </w:rPr>
        <w:t xml:space="preserve">the </w:t>
      </w:r>
      <w:r w:rsidR="00AB4849" w:rsidRPr="00695D7A">
        <w:rPr>
          <w:rStyle w:val="st"/>
          <w:lang w:val="en-GB"/>
        </w:rPr>
        <w:t xml:space="preserve">pending </w:t>
      </w:r>
      <w:r w:rsidR="009B333D" w:rsidRPr="00695D7A">
        <w:rPr>
          <w:rStyle w:val="st"/>
          <w:lang w:val="en-GB"/>
        </w:rPr>
        <w:t xml:space="preserve">cases </w:t>
      </w:r>
      <w:r w:rsidR="005546EA" w:rsidRPr="00695D7A">
        <w:rPr>
          <w:rStyle w:val="st"/>
          <w:lang w:val="en-GB"/>
        </w:rPr>
        <w:t xml:space="preserve">concerning the </w:t>
      </w:r>
      <w:r w:rsidR="00AB4849" w:rsidRPr="00695D7A">
        <w:rPr>
          <w:rStyle w:val="st"/>
          <w:lang w:val="en-GB"/>
        </w:rPr>
        <w:t>Borssele NPP</w:t>
      </w:r>
      <w:r w:rsidR="005546EA" w:rsidRPr="00695D7A">
        <w:rPr>
          <w:rStyle w:val="st"/>
          <w:lang w:val="en-GB"/>
        </w:rPr>
        <w:t xml:space="preserve"> </w:t>
      </w:r>
      <w:r w:rsidR="009B333D" w:rsidRPr="00695D7A">
        <w:rPr>
          <w:rStyle w:val="st"/>
          <w:lang w:val="en-GB"/>
        </w:rPr>
        <w:t>before the Espoo Convention Implementation Committee</w:t>
      </w:r>
      <w:r w:rsidR="00BF11E3" w:rsidRPr="00695D7A">
        <w:rPr>
          <w:rStyle w:val="st"/>
          <w:lang w:val="en-GB"/>
        </w:rPr>
        <w:t xml:space="preserve"> </w:t>
      </w:r>
      <w:r w:rsidR="009B333D" w:rsidRPr="00695D7A">
        <w:rPr>
          <w:rStyle w:val="st"/>
          <w:lang w:val="en-GB"/>
        </w:rPr>
        <w:t>and Aarhus Convention Compliance Committee are</w:t>
      </w:r>
      <w:r w:rsidR="00CC5AB7" w:rsidRPr="00695D7A">
        <w:rPr>
          <w:rStyle w:val="st"/>
          <w:lang w:val="en-GB"/>
        </w:rPr>
        <w:t xml:space="preserve"> </w:t>
      </w:r>
      <w:r w:rsidR="00074606" w:rsidRPr="00695D7A">
        <w:rPr>
          <w:rStyle w:val="st"/>
          <w:lang w:val="en-GB"/>
        </w:rPr>
        <w:t>completely</w:t>
      </w:r>
      <w:r w:rsidR="00A232E3" w:rsidRPr="00695D7A">
        <w:rPr>
          <w:rStyle w:val="st"/>
          <w:lang w:val="en-GB"/>
        </w:rPr>
        <w:t xml:space="preserve"> different</w:t>
      </w:r>
      <w:r w:rsidR="00957F0C" w:rsidRPr="00695D7A">
        <w:rPr>
          <w:rStyle w:val="st"/>
          <w:lang w:val="en-GB"/>
        </w:rPr>
        <w:t xml:space="preserve"> in substance</w:t>
      </w:r>
      <w:r w:rsidR="00A232E3" w:rsidRPr="00695D7A">
        <w:rPr>
          <w:rStyle w:val="st"/>
          <w:lang w:val="en-GB"/>
        </w:rPr>
        <w:t xml:space="preserve">. </w:t>
      </w:r>
      <w:r w:rsidR="00BF11E3" w:rsidRPr="00695D7A">
        <w:rPr>
          <w:rStyle w:val="st"/>
          <w:lang w:val="en-GB"/>
        </w:rPr>
        <w:t xml:space="preserve">The communicant </w:t>
      </w:r>
      <w:r w:rsidR="00AB4849" w:rsidRPr="00695D7A">
        <w:rPr>
          <w:rStyle w:val="st"/>
          <w:lang w:val="en-GB"/>
        </w:rPr>
        <w:t xml:space="preserve">submits </w:t>
      </w:r>
      <w:r w:rsidR="00BF11E3" w:rsidRPr="00695D7A">
        <w:rPr>
          <w:rStyle w:val="st"/>
          <w:lang w:val="en-GB"/>
        </w:rPr>
        <w:t xml:space="preserve">that </w:t>
      </w:r>
      <w:r w:rsidR="004131FA">
        <w:rPr>
          <w:rStyle w:val="st"/>
          <w:lang w:val="en-GB"/>
        </w:rPr>
        <w:t xml:space="preserve">its </w:t>
      </w:r>
      <w:r w:rsidR="00AB4849" w:rsidRPr="00695D7A">
        <w:rPr>
          <w:rStyle w:val="st"/>
          <w:lang w:val="en-GB"/>
        </w:rPr>
        <w:t>communication before</w:t>
      </w:r>
      <w:r w:rsidR="00BF11E3" w:rsidRPr="00695D7A">
        <w:rPr>
          <w:rStyle w:val="st"/>
          <w:lang w:val="en-GB"/>
        </w:rPr>
        <w:t xml:space="preserve"> the Aarhus Convention </w:t>
      </w:r>
      <w:r w:rsidR="00AB4849" w:rsidRPr="00695D7A">
        <w:rPr>
          <w:rStyle w:val="st"/>
          <w:lang w:val="en-GB"/>
        </w:rPr>
        <w:t xml:space="preserve">Compliance Committee </w:t>
      </w:r>
      <w:r w:rsidR="00BF11E3" w:rsidRPr="00695D7A">
        <w:rPr>
          <w:rStyle w:val="st"/>
          <w:lang w:val="en-GB"/>
        </w:rPr>
        <w:t>does not concern compli</w:t>
      </w:r>
      <w:r w:rsidR="005D50CD" w:rsidRPr="00695D7A">
        <w:rPr>
          <w:rStyle w:val="st"/>
          <w:lang w:val="en-GB"/>
        </w:rPr>
        <w:t xml:space="preserve">ance with the Espoo Convention and </w:t>
      </w:r>
      <w:r w:rsidR="00AB4849" w:rsidRPr="00695D7A">
        <w:rPr>
          <w:rStyle w:val="st"/>
          <w:lang w:val="en-GB"/>
        </w:rPr>
        <w:t xml:space="preserve">the two </w:t>
      </w:r>
      <w:r w:rsidR="00BF11E3" w:rsidRPr="00695D7A">
        <w:rPr>
          <w:rStyle w:val="st"/>
          <w:lang w:val="en-GB"/>
        </w:rPr>
        <w:t xml:space="preserve">Committees have been asked to investigate different things. </w:t>
      </w:r>
      <w:r w:rsidR="00A232E3" w:rsidRPr="00695D7A">
        <w:rPr>
          <w:rStyle w:val="st"/>
          <w:lang w:val="en-GB"/>
        </w:rPr>
        <w:t>T</w:t>
      </w:r>
      <w:r w:rsidR="00BF11E3" w:rsidRPr="00695D7A">
        <w:rPr>
          <w:rStyle w:val="st"/>
          <w:lang w:val="en-GB"/>
        </w:rPr>
        <w:t xml:space="preserve">he communicant </w:t>
      </w:r>
      <w:r w:rsidR="00AB4849" w:rsidRPr="00695D7A">
        <w:rPr>
          <w:rStyle w:val="st"/>
          <w:lang w:val="en-GB"/>
        </w:rPr>
        <w:t>accordingly</w:t>
      </w:r>
      <w:r w:rsidR="005546EA" w:rsidRPr="00695D7A">
        <w:rPr>
          <w:rStyle w:val="st"/>
          <w:lang w:val="en-GB"/>
        </w:rPr>
        <w:t xml:space="preserve"> </w:t>
      </w:r>
      <w:r w:rsidR="00BF11E3" w:rsidRPr="00695D7A">
        <w:rPr>
          <w:rStyle w:val="st"/>
          <w:lang w:val="en-GB"/>
        </w:rPr>
        <w:t xml:space="preserve">requests the Committee </w:t>
      </w:r>
      <w:r w:rsidR="00E61528" w:rsidRPr="00695D7A">
        <w:rPr>
          <w:rStyle w:val="st"/>
          <w:lang w:val="en-GB"/>
        </w:rPr>
        <w:t xml:space="preserve">to </w:t>
      </w:r>
      <w:r w:rsidR="00BF11E3" w:rsidRPr="00695D7A">
        <w:rPr>
          <w:rStyle w:val="st"/>
          <w:lang w:val="en-GB"/>
        </w:rPr>
        <w:t xml:space="preserve">investigate </w:t>
      </w:r>
      <w:r w:rsidR="00E61528" w:rsidRPr="00695D7A">
        <w:rPr>
          <w:rStyle w:val="st"/>
          <w:lang w:val="en-GB"/>
        </w:rPr>
        <w:t>the case</w:t>
      </w:r>
      <w:r w:rsidR="00BF11E3" w:rsidRPr="00695D7A">
        <w:rPr>
          <w:rStyle w:val="st"/>
          <w:lang w:val="en-GB"/>
        </w:rPr>
        <w:t xml:space="preserve"> on its merits</w:t>
      </w:r>
      <w:r w:rsidRPr="00695D7A">
        <w:rPr>
          <w:rStyle w:val="st"/>
          <w:lang w:val="en-GB"/>
        </w:rPr>
        <w:t xml:space="preserve"> without deferral</w:t>
      </w:r>
      <w:r w:rsidR="00BF11E3" w:rsidRPr="00695D7A">
        <w:rPr>
          <w:rStyle w:val="st"/>
          <w:lang w:val="en-GB"/>
        </w:rPr>
        <w:t>.</w:t>
      </w:r>
      <w:r w:rsidR="005546EA" w:rsidRPr="00695D7A">
        <w:rPr>
          <w:rStyle w:val="FootnoteReference"/>
          <w:lang w:val="en-GB"/>
        </w:rPr>
        <w:footnoteReference w:id="32"/>
      </w:r>
    </w:p>
    <w:p w:rsidR="0023575C" w:rsidRPr="00695D7A" w:rsidRDefault="0023575C" w:rsidP="00747B51">
      <w:pPr>
        <w:pStyle w:val="H1G"/>
        <w:numPr>
          <w:ilvl w:val="0"/>
          <w:numId w:val="4"/>
        </w:numPr>
        <w:tabs>
          <w:tab w:val="clear" w:pos="851"/>
          <w:tab w:val="clear" w:pos="1200"/>
        </w:tabs>
        <w:ind w:left="709" w:right="0" w:firstLine="0"/>
      </w:pPr>
      <w:r w:rsidRPr="00695D7A">
        <w:t>Substantive issues</w:t>
      </w:r>
    </w:p>
    <w:p w:rsidR="00F53147" w:rsidRPr="006613D3" w:rsidRDefault="00CE046B" w:rsidP="00A734E7">
      <w:pPr>
        <w:ind w:left="1134"/>
        <w:rPr>
          <w:b/>
        </w:rPr>
      </w:pPr>
      <w:r w:rsidRPr="006613D3">
        <w:rPr>
          <w:b/>
        </w:rPr>
        <w:t>Applicability of article 6</w:t>
      </w:r>
    </w:p>
    <w:p w:rsidR="00F53147" w:rsidRPr="00695D7A" w:rsidRDefault="00F53147" w:rsidP="00A734E7">
      <w:pPr>
        <w:ind w:left="1134"/>
      </w:pPr>
    </w:p>
    <w:p w:rsidR="00417B63" w:rsidRPr="00695D7A" w:rsidRDefault="000F2E36" w:rsidP="00A734E7">
      <w:pPr>
        <w:pStyle w:val="SingleTxtG"/>
        <w:numPr>
          <w:ilvl w:val="0"/>
          <w:numId w:val="3"/>
        </w:numPr>
        <w:tabs>
          <w:tab w:val="num" w:pos="1887"/>
        </w:tabs>
        <w:ind w:left="1134" w:right="0" w:firstLine="0"/>
        <w:rPr>
          <w:rStyle w:val="st"/>
          <w:lang w:val="en-GB"/>
        </w:rPr>
      </w:pPr>
      <w:bookmarkStart w:id="8" w:name="_Ref498330401"/>
      <w:r w:rsidRPr="00695D7A">
        <w:rPr>
          <w:rStyle w:val="st"/>
          <w:lang w:val="en-GB"/>
        </w:rPr>
        <w:t>T</w:t>
      </w:r>
      <w:r w:rsidR="00964018" w:rsidRPr="00695D7A">
        <w:rPr>
          <w:rStyle w:val="st"/>
          <w:lang w:val="en-GB"/>
        </w:rPr>
        <w:t xml:space="preserve">he communicant alleges that the </w:t>
      </w:r>
      <w:r w:rsidR="00BA2AFD" w:rsidRPr="001A20E3">
        <w:rPr>
          <w:rStyle w:val="st"/>
          <w:lang w:val="en-GB"/>
        </w:rPr>
        <w:t xml:space="preserve">March 2013 </w:t>
      </w:r>
      <w:r w:rsidR="0046030A">
        <w:rPr>
          <w:rStyle w:val="st"/>
          <w:lang w:val="en-GB"/>
        </w:rPr>
        <w:t>licence</w:t>
      </w:r>
      <w:r w:rsidR="00BA2AFD" w:rsidRPr="001A20E3">
        <w:rPr>
          <w:rStyle w:val="st"/>
          <w:lang w:val="en-GB"/>
        </w:rPr>
        <w:t xml:space="preserve"> for the extension of the design lifetime of the Borssele NPP</w:t>
      </w:r>
      <w:r w:rsidR="00BA2AFD" w:rsidRPr="001A20E3" w:rsidDel="00BA2AFD">
        <w:rPr>
          <w:rStyle w:val="st"/>
          <w:lang w:val="en-GB"/>
        </w:rPr>
        <w:t xml:space="preserve"> </w:t>
      </w:r>
      <w:r w:rsidR="009616A0" w:rsidRPr="00695D7A">
        <w:rPr>
          <w:rStyle w:val="st"/>
          <w:lang w:val="en-GB"/>
        </w:rPr>
        <w:t xml:space="preserve">(see para. </w:t>
      </w:r>
      <w:r w:rsidR="009616A0" w:rsidRPr="00695D7A">
        <w:rPr>
          <w:rStyle w:val="st"/>
          <w:lang w:val="en-GB"/>
        </w:rPr>
        <w:fldChar w:fldCharType="begin"/>
      </w:r>
      <w:r w:rsidR="009616A0" w:rsidRPr="00695D7A">
        <w:rPr>
          <w:rStyle w:val="st"/>
          <w:lang w:val="en-GB"/>
        </w:rPr>
        <w:instrText xml:space="preserve"> REF _Ref431990738 \r \h </w:instrText>
      </w:r>
      <w:r w:rsidR="00382F93" w:rsidRPr="001A20E3">
        <w:rPr>
          <w:rStyle w:val="st"/>
          <w:lang w:val="en-GB"/>
        </w:rPr>
        <w:instrText xml:space="preserve"> \* MERGEFORMAT </w:instrText>
      </w:r>
      <w:r w:rsidR="009616A0" w:rsidRPr="00695D7A">
        <w:rPr>
          <w:rStyle w:val="st"/>
          <w:lang w:val="en-GB"/>
        </w:rPr>
      </w:r>
      <w:r w:rsidR="009616A0" w:rsidRPr="00695D7A">
        <w:rPr>
          <w:rStyle w:val="st"/>
          <w:lang w:val="en-GB"/>
        </w:rPr>
        <w:fldChar w:fldCharType="separate"/>
      </w:r>
      <w:r w:rsidR="0056000C">
        <w:rPr>
          <w:rStyle w:val="st"/>
          <w:cs/>
          <w:lang w:val="en-GB"/>
        </w:rPr>
        <w:t>‎</w:t>
      </w:r>
      <w:r w:rsidR="0056000C">
        <w:rPr>
          <w:rStyle w:val="st"/>
          <w:lang w:val="en-GB"/>
        </w:rPr>
        <w:t>30</w:t>
      </w:r>
      <w:r w:rsidR="009616A0" w:rsidRPr="00695D7A">
        <w:rPr>
          <w:rStyle w:val="st"/>
          <w:lang w:val="en-GB"/>
        </w:rPr>
        <w:fldChar w:fldCharType="end"/>
      </w:r>
      <w:r w:rsidR="009616A0" w:rsidRPr="00695D7A">
        <w:rPr>
          <w:rStyle w:val="st"/>
          <w:lang w:val="en-GB"/>
        </w:rPr>
        <w:t xml:space="preserve"> above)</w:t>
      </w:r>
      <w:r w:rsidR="00004FC3" w:rsidRPr="00695D7A">
        <w:rPr>
          <w:rStyle w:val="st"/>
          <w:lang w:val="en-GB"/>
        </w:rPr>
        <w:t xml:space="preserve"> constituted an extension of activities</w:t>
      </w:r>
      <w:r w:rsidR="009616A0" w:rsidRPr="00695D7A">
        <w:rPr>
          <w:rStyle w:val="st"/>
          <w:lang w:val="en-GB"/>
        </w:rPr>
        <w:t xml:space="preserve"> of the </w:t>
      </w:r>
      <w:r w:rsidR="00A3696A" w:rsidRPr="00695D7A">
        <w:rPr>
          <w:rStyle w:val="st"/>
          <w:lang w:val="en-GB"/>
        </w:rPr>
        <w:lastRenderedPageBreak/>
        <w:t xml:space="preserve">Borssele </w:t>
      </w:r>
      <w:r w:rsidR="009616A0" w:rsidRPr="00695D7A">
        <w:rPr>
          <w:rStyle w:val="st"/>
          <w:lang w:val="en-GB"/>
        </w:rPr>
        <w:t xml:space="preserve">NPP </w:t>
      </w:r>
      <w:r w:rsidR="00004FC3" w:rsidRPr="00695D7A">
        <w:rPr>
          <w:rStyle w:val="st"/>
          <w:lang w:val="en-GB"/>
        </w:rPr>
        <w:t>which c</w:t>
      </w:r>
      <w:r w:rsidR="00A3696A" w:rsidRPr="00695D7A">
        <w:rPr>
          <w:rStyle w:val="st"/>
          <w:lang w:val="en-GB"/>
        </w:rPr>
        <w:t>ould</w:t>
      </w:r>
      <w:r w:rsidR="00004FC3" w:rsidRPr="00695D7A">
        <w:rPr>
          <w:rStyle w:val="st"/>
          <w:lang w:val="en-GB"/>
        </w:rPr>
        <w:t xml:space="preserve"> have potentially sever</w:t>
      </w:r>
      <w:r w:rsidR="005546EA" w:rsidRPr="00695D7A">
        <w:rPr>
          <w:rStyle w:val="st"/>
          <w:lang w:val="en-GB"/>
        </w:rPr>
        <w:t>e</w:t>
      </w:r>
      <w:r w:rsidR="00004FC3" w:rsidRPr="00695D7A">
        <w:rPr>
          <w:rStyle w:val="st"/>
          <w:lang w:val="en-GB"/>
        </w:rPr>
        <w:t xml:space="preserve"> effects on the environment</w:t>
      </w:r>
      <w:r w:rsidR="00417B63" w:rsidRPr="00695D7A">
        <w:rPr>
          <w:rStyle w:val="st"/>
          <w:lang w:val="en-GB"/>
        </w:rPr>
        <w:t>.</w:t>
      </w:r>
      <w:r w:rsidR="00417B63" w:rsidRPr="00695D7A">
        <w:rPr>
          <w:rStyle w:val="FootnoteReference"/>
          <w:lang w:val="en-GB"/>
        </w:rPr>
        <w:footnoteReference w:id="33"/>
      </w:r>
      <w:r w:rsidR="00417B63" w:rsidRPr="00695D7A">
        <w:rPr>
          <w:rStyle w:val="st"/>
          <w:lang w:val="en-GB"/>
        </w:rPr>
        <w:t xml:space="preserve"> It submits that this extension</w:t>
      </w:r>
      <w:r w:rsidR="00004FC3" w:rsidRPr="00695D7A">
        <w:rPr>
          <w:rStyle w:val="st"/>
          <w:lang w:val="en-GB"/>
        </w:rPr>
        <w:t xml:space="preserve"> therefore</w:t>
      </w:r>
      <w:r w:rsidR="008F6F7E" w:rsidRPr="00695D7A">
        <w:rPr>
          <w:rStyle w:val="st"/>
          <w:lang w:val="en-GB"/>
        </w:rPr>
        <w:t xml:space="preserve"> </w:t>
      </w:r>
      <w:r w:rsidR="00417B63" w:rsidRPr="00695D7A">
        <w:rPr>
          <w:rStyle w:val="st"/>
          <w:lang w:val="en-GB"/>
        </w:rPr>
        <w:t xml:space="preserve">constitutes a new activity under paragraph 1 of </w:t>
      </w:r>
      <w:r w:rsidR="00382F93" w:rsidRPr="00695D7A">
        <w:rPr>
          <w:rStyle w:val="st"/>
          <w:lang w:val="en-GB"/>
        </w:rPr>
        <w:t>a</w:t>
      </w:r>
      <w:r w:rsidR="00417B63" w:rsidRPr="00695D7A">
        <w:rPr>
          <w:rStyle w:val="st"/>
          <w:lang w:val="en-GB"/>
        </w:rPr>
        <w:t xml:space="preserve">nnex I </w:t>
      </w:r>
      <w:r w:rsidR="00382F93" w:rsidRPr="00695D7A">
        <w:rPr>
          <w:rStyle w:val="st"/>
          <w:lang w:val="en-GB"/>
        </w:rPr>
        <w:t xml:space="preserve">of the Convention, and thereby </w:t>
      </w:r>
      <w:r w:rsidR="00417B63" w:rsidRPr="00695D7A">
        <w:rPr>
          <w:rStyle w:val="st"/>
          <w:lang w:val="en-GB"/>
        </w:rPr>
        <w:t xml:space="preserve">under article 6, paragraph 1 (a), of the Convention or, alternatively, an extension </w:t>
      </w:r>
      <w:r w:rsidR="00382F93" w:rsidRPr="00695D7A">
        <w:rPr>
          <w:rStyle w:val="st"/>
          <w:lang w:val="en-GB"/>
        </w:rPr>
        <w:t>in accordance with</w:t>
      </w:r>
      <w:r w:rsidR="008F6F7E" w:rsidRPr="00695D7A">
        <w:rPr>
          <w:rStyle w:val="st"/>
          <w:lang w:val="en-GB"/>
        </w:rPr>
        <w:t xml:space="preserve"> </w:t>
      </w:r>
      <w:r w:rsidR="00964018" w:rsidRPr="00695D7A">
        <w:rPr>
          <w:rStyle w:val="st"/>
          <w:lang w:val="en-GB"/>
        </w:rPr>
        <w:t>paragraph 22 of Annex I of the Convention</w:t>
      </w:r>
      <w:r w:rsidR="008F6F7E" w:rsidRPr="00695D7A">
        <w:rPr>
          <w:rStyle w:val="st"/>
          <w:lang w:val="en-GB"/>
        </w:rPr>
        <w:t xml:space="preserve"> and thus subject to article 6, paragraph 1</w:t>
      </w:r>
      <w:r w:rsidR="00A930AA" w:rsidRPr="00695D7A">
        <w:rPr>
          <w:rStyle w:val="st"/>
          <w:lang w:val="en-GB"/>
        </w:rPr>
        <w:t xml:space="preserve"> </w:t>
      </w:r>
      <w:r w:rsidR="008F6F7E" w:rsidRPr="00695D7A">
        <w:rPr>
          <w:rStyle w:val="st"/>
          <w:lang w:val="en-GB"/>
        </w:rPr>
        <w:t>(a) of the Convention</w:t>
      </w:r>
      <w:r w:rsidR="00417B63" w:rsidRPr="00695D7A">
        <w:rPr>
          <w:rStyle w:val="st"/>
          <w:lang w:val="en-GB"/>
        </w:rPr>
        <w:t xml:space="preserve"> or, at least, an update of operating conditions under article 6, paragraph 10, of the Convention</w:t>
      </w:r>
      <w:r w:rsidR="00964018" w:rsidRPr="00695D7A">
        <w:rPr>
          <w:rStyle w:val="st"/>
          <w:lang w:val="en-GB"/>
        </w:rPr>
        <w:t>.</w:t>
      </w:r>
      <w:r w:rsidR="00417B63" w:rsidRPr="00695D7A">
        <w:rPr>
          <w:rStyle w:val="FootnoteReference"/>
          <w:lang w:val="en-GB"/>
        </w:rPr>
        <w:footnoteReference w:id="34"/>
      </w:r>
      <w:bookmarkEnd w:id="8"/>
      <w:r w:rsidR="00417B63" w:rsidRPr="00695D7A">
        <w:rPr>
          <w:rStyle w:val="st"/>
          <w:lang w:val="en-GB"/>
        </w:rPr>
        <w:t xml:space="preserve"> </w:t>
      </w:r>
    </w:p>
    <w:p w:rsidR="0091505F" w:rsidRPr="00695D7A" w:rsidRDefault="00417B63" w:rsidP="00E62030">
      <w:pPr>
        <w:pStyle w:val="SingleTxtG"/>
        <w:numPr>
          <w:ilvl w:val="0"/>
          <w:numId w:val="3"/>
        </w:numPr>
        <w:tabs>
          <w:tab w:val="num" w:pos="1887"/>
        </w:tabs>
        <w:ind w:left="1134" w:right="0" w:firstLine="0"/>
        <w:rPr>
          <w:rStyle w:val="st"/>
          <w:lang w:val="en-GB"/>
        </w:rPr>
      </w:pPr>
      <w:bookmarkStart w:id="9" w:name="_Ref498347330"/>
      <w:r w:rsidRPr="00695D7A">
        <w:rPr>
          <w:rStyle w:val="st"/>
          <w:lang w:val="en-GB"/>
        </w:rPr>
        <w:t>The communicant states that</w:t>
      </w:r>
      <w:r w:rsidR="00382F93" w:rsidRPr="00695D7A">
        <w:rPr>
          <w:rStyle w:val="st"/>
          <w:lang w:val="en-GB"/>
        </w:rPr>
        <w:t>, without the 2013 licence,</w:t>
      </w:r>
      <w:r w:rsidRPr="00695D7A">
        <w:rPr>
          <w:rStyle w:val="st"/>
          <w:lang w:val="en-GB"/>
        </w:rPr>
        <w:t xml:space="preserve"> the </w:t>
      </w:r>
      <w:r w:rsidR="00F27D44" w:rsidRPr="00695D7A">
        <w:rPr>
          <w:rStyle w:val="st"/>
          <w:lang w:val="en-GB"/>
        </w:rPr>
        <w:t>NPP</w:t>
      </w:r>
      <w:r w:rsidRPr="00695D7A">
        <w:rPr>
          <w:rStyle w:val="st"/>
          <w:lang w:val="en-GB"/>
        </w:rPr>
        <w:t xml:space="preserve"> would have had to cease </w:t>
      </w:r>
      <w:r w:rsidR="00F27D44" w:rsidRPr="00695D7A">
        <w:rPr>
          <w:rStyle w:val="st"/>
          <w:lang w:val="en-GB"/>
        </w:rPr>
        <w:t xml:space="preserve">operations </w:t>
      </w:r>
      <w:r w:rsidRPr="00695D7A">
        <w:rPr>
          <w:rStyle w:val="st"/>
          <w:lang w:val="en-GB"/>
        </w:rPr>
        <w:t>and that therefore th</w:t>
      </w:r>
      <w:r w:rsidR="00382F93" w:rsidRPr="00695D7A">
        <w:rPr>
          <w:rStyle w:val="st"/>
          <w:lang w:val="en-GB"/>
        </w:rPr>
        <w:t>e</w:t>
      </w:r>
      <w:r w:rsidRPr="00695D7A">
        <w:rPr>
          <w:rStyle w:val="st"/>
          <w:lang w:val="en-GB"/>
        </w:rPr>
        <w:t xml:space="preserve"> </w:t>
      </w:r>
      <w:r w:rsidR="0046030A">
        <w:rPr>
          <w:rStyle w:val="st"/>
          <w:lang w:val="en-GB"/>
        </w:rPr>
        <w:t>licence</w:t>
      </w:r>
      <w:r w:rsidRPr="00695D7A">
        <w:rPr>
          <w:rStyle w:val="st"/>
          <w:lang w:val="en-GB"/>
        </w:rPr>
        <w:t xml:space="preserve"> falls under annex I of the Convention.</w:t>
      </w:r>
      <w:r w:rsidRPr="00695D7A">
        <w:rPr>
          <w:rStyle w:val="FootnoteReference"/>
          <w:lang w:val="en-GB"/>
        </w:rPr>
        <w:footnoteReference w:id="35"/>
      </w:r>
      <w:r w:rsidRPr="00695D7A">
        <w:rPr>
          <w:rStyle w:val="st"/>
          <w:lang w:val="en-GB"/>
        </w:rPr>
        <w:t xml:space="preserve"> </w:t>
      </w:r>
      <w:r w:rsidR="00B923C5" w:rsidRPr="00695D7A">
        <w:rPr>
          <w:rStyle w:val="st"/>
          <w:lang w:val="en-GB"/>
        </w:rPr>
        <w:t xml:space="preserve">The communicant refers to the </w:t>
      </w:r>
      <w:r w:rsidR="00382F93" w:rsidRPr="00695D7A">
        <w:rPr>
          <w:rStyle w:val="st"/>
          <w:lang w:val="en-GB"/>
        </w:rPr>
        <w:t xml:space="preserve">1994 and 2002 </w:t>
      </w:r>
      <w:r w:rsidR="009516A0">
        <w:rPr>
          <w:rStyle w:val="st"/>
          <w:lang w:val="en-GB"/>
        </w:rPr>
        <w:t>agreements</w:t>
      </w:r>
      <w:r w:rsidR="009516A0" w:rsidRPr="00695D7A">
        <w:rPr>
          <w:rStyle w:val="st"/>
          <w:lang w:val="en-GB"/>
        </w:rPr>
        <w:t xml:space="preserve"> </w:t>
      </w:r>
      <w:r w:rsidR="00B923C5" w:rsidRPr="00695D7A">
        <w:rPr>
          <w:rStyle w:val="st"/>
          <w:lang w:val="en-GB"/>
        </w:rPr>
        <w:t xml:space="preserve">(see paras. </w:t>
      </w:r>
      <w:r w:rsidR="00747B51" w:rsidRPr="00695D7A">
        <w:rPr>
          <w:rStyle w:val="st"/>
          <w:lang w:val="en-GB"/>
        </w:rPr>
        <w:fldChar w:fldCharType="begin"/>
      </w:r>
      <w:r w:rsidR="00747B51" w:rsidRPr="00695D7A">
        <w:rPr>
          <w:rStyle w:val="st"/>
          <w:lang w:val="en-GB"/>
        </w:rPr>
        <w:instrText xml:space="preserve"> REF _Ref498095351 \r \h </w:instrText>
      </w:r>
      <w:r w:rsidR="00382F93" w:rsidRPr="001A20E3">
        <w:rPr>
          <w:rStyle w:val="st"/>
          <w:lang w:val="en-GB"/>
        </w:rPr>
        <w:instrText xml:space="preserve"> \* MERGEFORMAT </w:instrText>
      </w:r>
      <w:r w:rsidR="00747B51" w:rsidRPr="00695D7A">
        <w:rPr>
          <w:rStyle w:val="st"/>
          <w:lang w:val="en-GB"/>
        </w:rPr>
      </w:r>
      <w:r w:rsidR="00747B51" w:rsidRPr="00695D7A">
        <w:rPr>
          <w:rStyle w:val="st"/>
          <w:lang w:val="en-GB"/>
        </w:rPr>
        <w:fldChar w:fldCharType="separate"/>
      </w:r>
      <w:r w:rsidR="0056000C">
        <w:rPr>
          <w:rStyle w:val="st"/>
          <w:cs/>
          <w:lang w:val="en-GB"/>
        </w:rPr>
        <w:t>‎</w:t>
      </w:r>
      <w:r w:rsidR="0056000C">
        <w:rPr>
          <w:rStyle w:val="st"/>
          <w:lang w:val="en-GB"/>
        </w:rPr>
        <w:t>19</w:t>
      </w:r>
      <w:r w:rsidR="00747B51" w:rsidRPr="00695D7A">
        <w:rPr>
          <w:rStyle w:val="st"/>
          <w:lang w:val="en-GB"/>
        </w:rPr>
        <w:fldChar w:fldCharType="end"/>
      </w:r>
      <w:r w:rsidR="00747B51" w:rsidRPr="00695D7A">
        <w:rPr>
          <w:rStyle w:val="st"/>
          <w:lang w:val="en-GB"/>
        </w:rPr>
        <w:t xml:space="preserve"> </w:t>
      </w:r>
      <w:r w:rsidR="00B923C5" w:rsidRPr="00695D7A">
        <w:rPr>
          <w:rStyle w:val="st"/>
          <w:lang w:val="en-GB"/>
        </w:rPr>
        <w:t xml:space="preserve">and </w:t>
      </w:r>
      <w:r w:rsidR="00747B51" w:rsidRPr="00695D7A">
        <w:rPr>
          <w:rStyle w:val="st"/>
          <w:lang w:val="en-GB"/>
        </w:rPr>
        <w:fldChar w:fldCharType="begin"/>
      </w:r>
      <w:r w:rsidR="00747B51" w:rsidRPr="00695D7A">
        <w:rPr>
          <w:rStyle w:val="st"/>
          <w:lang w:val="en-GB"/>
        </w:rPr>
        <w:instrText xml:space="preserve"> REF _Ref498935345 \r \h </w:instrText>
      </w:r>
      <w:r w:rsidR="00382F93" w:rsidRPr="001A20E3">
        <w:rPr>
          <w:rStyle w:val="st"/>
          <w:lang w:val="en-GB"/>
        </w:rPr>
        <w:instrText xml:space="preserve"> \* MERGEFORMAT </w:instrText>
      </w:r>
      <w:r w:rsidR="00747B51" w:rsidRPr="00695D7A">
        <w:rPr>
          <w:rStyle w:val="st"/>
          <w:lang w:val="en-GB"/>
        </w:rPr>
      </w:r>
      <w:r w:rsidR="00747B51" w:rsidRPr="00695D7A">
        <w:rPr>
          <w:rStyle w:val="st"/>
          <w:lang w:val="en-GB"/>
        </w:rPr>
        <w:fldChar w:fldCharType="separate"/>
      </w:r>
      <w:r w:rsidR="0056000C">
        <w:rPr>
          <w:rStyle w:val="st"/>
          <w:cs/>
          <w:lang w:val="en-GB"/>
        </w:rPr>
        <w:t>‎</w:t>
      </w:r>
      <w:r w:rsidR="0056000C">
        <w:rPr>
          <w:rStyle w:val="st"/>
          <w:lang w:val="en-GB"/>
        </w:rPr>
        <w:t>21</w:t>
      </w:r>
      <w:r w:rsidR="00747B51" w:rsidRPr="00695D7A">
        <w:rPr>
          <w:rStyle w:val="st"/>
          <w:lang w:val="en-GB"/>
        </w:rPr>
        <w:fldChar w:fldCharType="end"/>
      </w:r>
      <w:r w:rsidR="00747B51" w:rsidRPr="00695D7A">
        <w:rPr>
          <w:rStyle w:val="st"/>
          <w:lang w:val="en-GB"/>
        </w:rPr>
        <w:t xml:space="preserve"> </w:t>
      </w:r>
      <w:r w:rsidR="00B923C5" w:rsidRPr="00695D7A">
        <w:rPr>
          <w:rStyle w:val="st"/>
          <w:lang w:val="en-GB"/>
        </w:rPr>
        <w:t>above)</w:t>
      </w:r>
      <w:r w:rsidR="00F27D44" w:rsidRPr="00695D7A">
        <w:rPr>
          <w:rStyle w:val="st"/>
          <w:lang w:val="en-GB"/>
        </w:rPr>
        <w:t>,</w:t>
      </w:r>
      <w:r w:rsidR="00B923C5" w:rsidRPr="00695D7A">
        <w:rPr>
          <w:rStyle w:val="st"/>
          <w:lang w:val="en-GB"/>
        </w:rPr>
        <w:t xml:space="preserve"> which established that the reactor would have to cease operation</w:t>
      </w:r>
      <w:r w:rsidR="00747B51" w:rsidRPr="00695D7A">
        <w:rPr>
          <w:rStyle w:val="st"/>
          <w:lang w:val="en-GB"/>
        </w:rPr>
        <w:t xml:space="preserve"> first by</w:t>
      </w:r>
      <w:r w:rsidR="00B923C5" w:rsidRPr="00695D7A">
        <w:rPr>
          <w:rStyle w:val="st"/>
          <w:lang w:val="en-GB"/>
        </w:rPr>
        <w:t xml:space="preserve"> 2003 and </w:t>
      </w:r>
      <w:r w:rsidR="00F27D44" w:rsidRPr="00695D7A">
        <w:rPr>
          <w:rStyle w:val="st"/>
          <w:lang w:val="en-GB"/>
        </w:rPr>
        <w:t>then</w:t>
      </w:r>
      <w:r w:rsidR="00747B51" w:rsidRPr="00695D7A">
        <w:rPr>
          <w:rStyle w:val="st"/>
          <w:lang w:val="en-GB"/>
        </w:rPr>
        <w:t xml:space="preserve"> by</w:t>
      </w:r>
      <w:r w:rsidR="00F27D44" w:rsidRPr="00695D7A">
        <w:rPr>
          <w:rStyle w:val="st"/>
          <w:lang w:val="en-GB"/>
        </w:rPr>
        <w:t xml:space="preserve"> </w:t>
      </w:r>
      <w:r w:rsidR="00B923C5" w:rsidRPr="00695D7A">
        <w:rPr>
          <w:rStyle w:val="st"/>
          <w:lang w:val="en-GB"/>
        </w:rPr>
        <w:t>2013</w:t>
      </w:r>
      <w:r w:rsidR="00F27D44" w:rsidRPr="00695D7A">
        <w:rPr>
          <w:rStyle w:val="st"/>
          <w:lang w:val="en-GB"/>
        </w:rPr>
        <w:t>,</w:t>
      </w:r>
      <w:r w:rsidR="00B923C5" w:rsidRPr="00695D7A">
        <w:rPr>
          <w:rStyle w:val="st"/>
          <w:lang w:val="en-GB"/>
        </w:rPr>
        <w:t xml:space="preserve"> to </w:t>
      </w:r>
      <w:r w:rsidR="00747B51" w:rsidRPr="00695D7A">
        <w:rPr>
          <w:rStyle w:val="st"/>
          <w:lang w:val="en-GB"/>
        </w:rPr>
        <w:t>demonstrate</w:t>
      </w:r>
      <w:r w:rsidR="00B923C5" w:rsidRPr="00695D7A">
        <w:rPr>
          <w:rStyle w:val="st"/>
          <w:lang w:val="en-GB"/>
        </w:rPr>
        <w:t xml:space="preserve"> that an extension occurred. It also refers to a statement </w:t>
      </w:r>
      <w:r w:rsidR="00382F93" w:rsidRPr="00695D7A">
        <w:rPr>
          <w:rStyle w:val="st"/>
          <w:lang w:val="en-GB"/>
        </w:rPr>
        <w:t>made by</w:t>
      </w:r>
      <w:r w:rsidR="00B923C5" w:rsidRPr="00695D7A">
        <w:rPr>
          <w:rStyle w:val="st"/>
          <w:lang w:val="en-GB"/>
        </w:rPr>
        <w:t xml:space="preserve"> the </w:t>
      </w:r>
      <w:r w:rsidR="00382F93" w:rsidRPr="00695D7A">
        <w:rPr>
          <w:rStyle w:val="st"/>
          <w:lang w:val="en-GB"/>
        </w:rPr>
        <w:t>G</w:t>
      </w:r>
      <w:r w:rsidR="00B923C5" w:rsidRPr="00695D7A">
        <w:rPr>
          <w:rStyle w:val="st"/>
          <w:lang w:val="en-GB"/>
        </w:rPr>
        <w:t>overnment in the context of the elaboration of the 2006 Covenant in which it stated that the “initial intention, closure of the Borssele NPP, therefore constitutes the reference situation.”</w:t>
      </w:r>
      <w:r w:rsidR="00F4455D" w:rsidRPr="00695D7A">
        <w:rPr>
          <w:rStyle w:val="FootnoteReference"/>
          <w:lang w:val="en-GB"/>
        </w:rPr>
        <w:footnoteReference w:id="36"/>
      </w:r>
      <w:bookmarkEnd w:id="9"/>
      <w:r w:rsidR="00F27D44" w:rsidRPr="00695D7A">
        <w:rPr>
          <w:rStyle w:val="st"/>
          <w:lang w:val="en-GB"/>
        </w:rPr>
        <w:t xml:space="preserve"> </w:t>
      </w:r>
      <w:bookmarkStart w:id="10" w:name="_Ref499311832"/>
      <w:r w:rsidR="00747B51" w:rsidRPr="00695D7A">
        <w:rPr>
          <w:rStyle w:val="st"/>
          <w:lang w:val="en-GB"/>
        </w:rPr>
        <w:t>The communicant also</w:t>
      </w:r>
      <w:r w:rsidR="009D4CF5" w:rsidRPr="00695D7A">
        <w:rPr>
          <w:rStyle w:val="st"/>
          <w:lang w:val="en-GB"/>
        </w:rPr>
        <w:t xml:space="preserve"> </w:t>
      </w:r>
      <w:r w:rsidRPr="00695D7A">
        <w:rPr>
          <w:rStyle w:val="st"/>
          <w:lang w:val="en-GB"/>
        </w:rPr>
        <w:t xml:space="preserve">submits </w:t>
      </w:r>
      <w:r w:rsidR="0091505F" w:rsidRPr="00695D7A">
        <w:rPr>
          <w:rStyle w:val="st"/>
          <w:lang w:val="en-GB"/>
        </w:rPr>
        <w:t xml:space="preserve">that the assumption of the Party concerned and the </w:t>
      </w:r>
      <w:r w:rsidR="00382F93" w:rsidRPr="00695D7A">
        <w:rPr>
          <w:rStyle w:val="st"/>
          <w:lang w:val="en-GB"/>
        </w:rPr>
        <w:t xml:space="preserve">NPP </w:t>
      </w:r>
      <w:r w:rsidR="0091505F" w:rsidRPr="00695D7A">
        <w:rPr>
          <w:rStyle w:val="st"/>
          <w:lang w:val="en-GB"/>
        </w:rPr>
        <w:t xml:space="preserve">operator that the Borssele NPP would have a design lifetime of 40 years, </w:t>
      </w:r>
      <w:r w:rsidR="00382F93" w:rsidRPr="00695D7A">
        <w:rPr>
          <w:rStyle w:val="st"/>
          <w:lang w:val="en-GB"/>
        </w:rPr>
        <w:t>i.e.</w:t>
      </w:r>
      <w:r w:rsidR="0091505F" w:rsidRPr="00695D7A">
        <w:rPr>
          <w:rStyle w:val="st"/>
          <w:lang w:val="en-GB"/>
        </w:rPr>
        <w:t xml:space="preserve"> until 2014</w:t>
      </w:r>
      <w:r w:rsidR="008C20D9" w:rsidRPr="00695D7A">
        <w:rPr>
          <w:rStyle w:val="st"/>
          <w:lang w:val="en-GB"/>
        </w:rPr>
        <w:t>,</w:t>
      </w:r>
      <w:r w:rsidR="0091505F" w:rsidRPr="00695D7A">
        <w:rPr>
          <w:rStyle w:val="st"/>
          <w:lang w:val="en-GB"/>
        </w:rPr>
        <w:t xml:space="preserve"> ha</w:t>
      </w:r>
      <w:r w:rsidR="008C20D9" w:rsidRPr="00695D7A">
        <w:rPr>
          <w:rStyle w:val="st"/>
          <w:lang w:val="en-GB"/>
        </w:rPr>
        <w:t>d</w:t>
      </w:r>
      <w:r w:rsidR="0091505F" w:rsidRPr="00695D7A">
        <w:rPr>
          <w:rStyle w:val="st"/>
          <w:lang w:val="en-GB"/>
        </w:rPr>
        <w:t xml:space="preserve"> also been the assumption of the public and </w:t>
      </w:r>
      <w:r w:rsidR="00382F93" w:rsidRPr="00695D7A">
        <w:rPr>
          <w:rStyle w:val="st"/>
          <w:lang w:val="en-GB"/>
        </w:rPr>
        <w:t xml:space="preserve">a </w:t>
      </w:r>
      <w:r w:rsidR="0091505F" w:rsidRPr="00695D7A">
        <w:rPr>
          <w:rStyle w:val="st"/>
          <w:lang w:val="en-GB"/>
        </w:rPr>
        <w:t>longer operational lifetime is therefore seen by the public as an extension of the project.</w:t>
      </w:r>
      <w:r w:rsidR="0091505F" w:rsidRPr="00695D7A">
        <w:rPr>
          <w:rStyle w:val="FootnoteReference"/>
          <w:lang w:val="en-GB"/>
        </w:rPr>
        <w:footnoteReference w:id="37"/>
      </w:r>
      <w:bookmarkEnd w:id="10"/>
    </w:p>
    <w:p w:rsidR="00F86DD1" w:rsidRPr="00695D7A" w:rsidRDefault="00F86DD1" w:rsidP="00A734E7">
      <w:pPr>
        <w:pStyle w:val="SingleTxtG"/>
        <w:numPr>
          <w:ilvl w:val="0"/>
          <w:numId w:val="3"/>
        </w:numPr>
        <w:ind w:left="1134" w:right="0" w:firstLine="0"/>
        <w:rPr>
          <w:rStyle w:val="st"/>
          <w:lang w:val="en-GB"/>
        </w:rPr>
      </w:pPr>
      <w:r w:rsidRPr="001A20E3">
        <w:rPr>
          <w:rStyle w:val="st"/>
          <w:lang w:val="en-GB"/>
        </w:rPr>
        <w:t xml:space="preserve">The communicant </w:t>
      </w:r>
      <w:r w:rsidR="00F60E7D" w:rsidRPr="001A20E3">
        <w:rPr>
          <w:rStyle w:val="st"/>
          <w:lang w:val="en-GB"/>
        </w:rPr>
        <w:t xml:space="preserve">contends </w:t>
      </w:r>
      <w:r w:rsidRPr="001A20E3">
        <w:rPr>
          <w:rStyle w:val="st"/>
          <w:lang w:val="en-GB"/>
        </w:rPr>
        <w:t>that the Ministry of Economic Affairs justifie</w:t>
      </w:r>
      <w:r w:rsidR="00F4455D" w:rsidRPr="001A20E3">
        <w:rPr>
          <w:rStyle w:val="st"/>
          <w:lang w:val="en-GB"/>
        </w:rPr>
        <w:t>d</w:t>
      </w:r>
      <w:r w:rsidRPr="001A20E3">
        <w:rPr>
          <w:rStyle w:val="st"/>
          <w:lang w:val="en-GB"/>
        </w:rPr>
        <w:t xml:space="preserve"> the lack of an </w:t>
      </w:r>
      <w:r w:rsidR="00AA1E86" w:rsidRPr="00695D7A">
        <w:rPr>
          <w:rStyle w:val="st"/>
          <w:lang w:val="en-GB"/>
        </w:rPr>
        <w:t xml:space="preserve">environmental impact assessment </w:t>
      </w:r>
      <w:r w:rsidRPr="00695D7A">
        <w:rPr>
          <w:rStyle w:val="st"/>
          <w:lang w:val="en-GB"/>
        </w:rPr>
        <w:t xml:space="preserve">with the argument that no material changes took place in the NPP before the life-time extension was granted. The communicant </w:t>
      </w:r>
      <w:r w:rsidR="00F60E7D" w:rsidRPr="00695D7A">
        <w:rPr>
          <w:rStyle w:val="st"/>
          <w:lang w:val="en-GB"/>
        </w:rPr>
        <w:t xml:space="preserve">submits </w:t>
      </w:r>
      <w:r w:rsidRPr="00695D7A">
        <w:rPr>
          <w:rStyle w:val="st"/>
          <w:lang w:val="en-GB"/>
        </w:rPr>
        <w:t xml:space="preserve">that the </w:t>
      </w:r>
      <w:r w:rsidR="0054177F">
        <w:rPr>
          <w:rStyle w:val="st"/>
          <w:lang w:val="en-GB"/>
        </w:rPr>
        <w:t xml:space="preserve">Aarhus </w:t>
      </w:r>
      <w:r w:rsidRPr="00695D7A">
        <w:rPr>
          <w:rStyle w:val="st"/>
          <w:lang w:val="en-GB"/>
        </w:rPr>
        <w:t xml:space="preserve">Convention </w:t>
      </w:r>
      <w:r w:rsidR="00F60E7D" w:rsidRPr="00695D7A">
        <w:rPr>
          <w:rStyle w:val="st"/>
          <w:lang w:val="en-GB"/>
        </w:rPr>
        <w:t xml:space="preserve">makes </w:t>
      </w:r>
      <w:r w:rsidRPr="00695D7A">
        <w:rPr>
          <w:rStyle w:val="st"/>
          <w:lang w:val="en-GB"/>
        </w:rPr>
        <w:t>clear that an extension of activities should be submitted to public participation concerning potential significant effects on the environment and a reference to material changes is in that framework irrelevant.</w:t>
      </w:r>
      <w:r w:rsidRPr="00695D7A">
        <w:rPr>
          <w:rStyle w:val="FootnoteReference"/>
          <w:lang w:val="en-GB"/>
        </w:rPr>
        <w:footnoteReference w:id="38"/>
      </w:r>
      <w:r w:rsidRPr="00695D7A">
        <w:rPr>
          <w:rStyle w:val="st"/>
          <w:lang w:val="en-GB"/>
        </w:rPr>
        <w:t xml:space="preserve"> </w:t>
      </w:r>
    </w:p>
    <w:p w:rsidR="0094197C" w:rsidRPr="00695D7A" w:rsidRDefault="00426B3F" w:rsidP="0094197C">
      <w:pPr>
        <w:pStyle w:val="SingleTxtG"/>
        <w:numPr>
          <w:ilvl w:val="0"/>
          <w:numId w:val="3"/>
        </w:numPr>
        <w:tabs>
          <w:tab w:val="num" w:pos="1887"/>
        </w:tabs>
        <w:ind w:left="1134" w:right="0" w:firstLine="0"/>
        <w:rPr>
          <w:lang w:val="en-GB"/>
        </w:rPr>
      </w:pPr>
      <w:r w:rsidRPr="00695D7A">
        <w:rPr>
          <w:rStyle w:val="st"/>
          <w:lang w:val="en-GB"/>
        </w:rPr>
        <w:t xml:space="preserve">The communicant </w:t>
      </w:r>
      <w:r w:rsidR="00B21682" w:rsidRPr="00695D7A">
        <w:rPr>
          <w:rStyle w:val="st"/>
          <w:lang w:val="en-GB"/>
        </w:rPr>
        <w:t xml:space="preserve">alleges </w:t>
      </w:r>
      <w:r w:rsidR="00987BB1" w:rsidRPr="00695D7A">
        <w:rPr>
          <w:rStyle w:val="st"/>
          <w:lang w:val="en-GB"/>
        </w:rPr>
        <w:t xml:space="preserve">that </w:t>
      </w:r>
      <w:r w:rsidRPr="00695D7A">
        <w:rPr>
          <w:rStyle w:val="st"/>
          <w:lang w:val="en-GB"/>
        </w:rPr>
        <w:t>allow</w:t>
      </w:r>
      <w:r w:rsidR="00987BB1" w:rsidRPr="00695D7A">
        <w:rPr>
          <w:rStyle w:val="st"/>
          <w:lang w:val="en-GB"/>
        </w:rPr>
        <w:t>ing</w:t>
      </w:r>
      <w:r w:rsidRPr="00695D7A">
        <w:rPr>
          <w:rStyle w:val="st"/>
          <w:lang w:val="en-GB"/>
        </w:rPr>
        <w:t xml:space="preserve"> a further 20 years of operation of the Borssele </w:t>
      </w:r>
      <w:r w:rsidR="00A7640E" w:rsidRPr="00695D7A">
        <w:rPr>
          <w:rStyle w:val="st"/>
          <w:lang w:val="en-GB"/>
        </w:rPr>
        <w:t xml:space="preserve">NPP </w:t>
      </w:r>
      <w:r w:rsidRPr="00695D7A">
        <w:rPr>
          <w:rStyle w:val="st"/>
          <w:lang w:val="en-GB"/>
        </w:rPr>
        <w:t xml:space="preserve">after its </w:t>
      </w:r>
      <w:r w:rsidR="00EC59D1" w:rsidRPr="00695D7A">
        <w:rPr>
          <w:rStyle w:val="st"/>
          <w:lang w:val="en-GB"/>
        </w:rPr>
        <w:t>design life-time of 40 years</w:t>
      </w:r>
      <w:r w:rsidR="00422328" w:rsidRPr="00695D7A">
        <w:rPr>
          <w:rStyle w:val="st"/>
          <w:lang w:val="en-GB"/>
        </w:rPr>
        <w:t xml:space="preserve"> </w:t>
      </w:r>
      <w:r w:rsidR="0094197C" w:rsidRPr="00695D7A">
        <w:rPr>
          <w:rStyle w:val="st"/>
          <w:lang w:val="en-GB"/>
        </w:rPr>
        <w:t>significantly increase</w:t>
      </w:r>
      <w:r w:rsidR="00F60E7D" w:rsidRPr="00695D7A">
        <w:rPr>
          <w:rStyle w:val="st"/>
          <w:lang w:val="en-GB"/>
        </w:rPr>
        <w:t>s</w:t>
      </w:r>
      <w:r w:rsidR="0094197C" w:rsidRPr="00695D7A">
        <w:rPr>
          <w:rStyle w:val="st"/>
          <w:lang w:val="en-GB"/>
        </w:rPr>
        <w:t xml:space="preserve"> the risk that</w:t>
      </w:r>
      <w:r w:rsidR="00F4455D" w:rsidRPr="00695D7A">
        <w:rPr>
          <w:rStyle w:val="st"/>
          <w:lang w:val="en-GB"/>
        </w:rPr>
        <w:t xml:space="preserve"> possible incidents and accidents with severe environmental effects</w:t>
      </w:r>
      <w:r w:rsidR="0094197C" w:rsidRPr="00695D7A">
        <w:rPr>
          <w:rStyle w:val="st"/>
          <w:lang w:val="en-GB"/>
        </w:rPr>
        <w:t xml:space="preserve"> </w:t>
      </w:r>
      <w:r w:rsidR="00F60E7D" w:rsidRPr="00695D7A">
        <w:rPr>
          <w:rStyle w:val="st"/>
          <w:lang w:val="en-GB"/>
        </w:rPr>
        <w:t xml:space="preserve">may </w:t>
      </w:r>
      <w:r w:rsidR="0094197C" w:rsidRPr="00695D7A">
        <w:rPr>
          <w:rStyle w:val="st"/>
          <w:lang w:val="en-GB"/>
        </w:rPr>
        <w:t>occur</w:t>
      </w:r>
      <w:r w:rsidR="00F60E7D" w:rsidRPr="00695D7A">
        <w:rPr>
          <w:rStyle w:val="st"/>
          <w:lang w:val="en-GB"/>
        </w:rPr>
        <w:t>, for example</w:t>
      </w:r>
      <w:r w:rsidR="00E422E9" w:rsidRPr="00695D7A">
        <w:rPr>
          <w:rStyle w:val="st"/>
          <w:lang w:val="en-GB"/>
        </w:rPr>
        <w:t>:</w:t>
      </w:r>
    </w:p>
    <w:p w:rsidR="00987BB1" w:rsidRPr="00695D7A" w:rsidRDefault="00987BB1" w:rsidP="00695D7A">
      <w:pPr>
        <w:pStyle w:val="SingleTxtG"/>
        <w:numPr>
          <w:ilvl w:val="0"/>
          <w:numId w:val="20"/>
        </w:numPr>
        <w:ind w:left="1701" w:right="0" w:firstLine="0"/>
        <w:rPr>
          <w:lang w:val="en-GB"/>
        </w:rPr>
      </w:pPr>
      <w:r w:rsidRPr="00695D7A">
        <w:rPr>
          <w:lang w:val="en-GB"/>
        </w:rPr>
        <w:t>An increasing risk of malfunction by ageing components and increased compatibility problems from the introduction of new replacement components, potentially escalating in a severe accident with emissions of radioactive substances into the environment;</w:t>
      </w:r>
    </w:p>
    <w:p w:rsidR="00987BB1" w:rsidRPr="00695D7A" w:rsidRDefault="00987BB1" w:rsidP="00695D7A">
      <w:pPr>
        <w:pStyle w:val="SingleTxtG"/>
        <w:numPr>
          <w:ilvl w:val="0"/>
          <w:numId w:val="20"/>
        </w:numPr>
        <w:ind w:left="1701" w:right="0" w:firstLine="0"/>
        <w:rPr>
          <w:lang w:val="en-GB"/>
        </w:rPr>
      </w:pPr>
      <w:r w:rsidRPr="00695D7A">
        <w:rPr>
          <w:lang w:val="en-GB"/>
        </w:rPr>
        <w:t>A 50% increase of the time of exposure to potential terrorist attack, sabotage or acts of war;</w:t>
      </w:r>
    </w:p>
    <w:p w:rsidR="00987BB1" w:rsidRPr="00695D7A" w:rsidRDefault="00987BB1" w:rsidP="00695D7A">
      <w:pPr>
        <w:pStyle w:val="SingleTxtG"/>
        <w:numPr>
          <w:ilvl w:val="0"/>
          <w:numId w:val="20"/>
        </w:numPr>
        <w:ind w:left="1701" w:right="0" w:firstLine="0"/>
        <w:rPr>
          <w:lang w:val="en-GB"/>
        </w:rPr>
      </w:pPr>
      <w:r w:rsidRPr="00695D7A">
        <w:rPr>
          <w:lang w:val="en-GB"/>
        </w:rPr>
        <w:t>A 50% increase of the time of exposure to extreme natural events that could alone or in combination with human failure or malevolent human acts lead to emissions of radioactive substances into the environment;</w:t>
      </w:r>
    </w:p>
    <w:p w:rsidR="00987BB1" w:rsidRPr="00695D7A" w:rsidRDefault="00987BB1" w:rsidP="00695D7A">
      <w:pPr>
        <w:pStyle w:val="SingleTxtG"/>
        <w:numPr>
          <w:ilvl w:val="0"/>
          <w:numId w:val="20"/>
        </w:numPr>
        <w:ind w:left="1701" w:right="0" w:firstLine="0"/>
        <w:rPr>
          <w:lang w:val="en-GB"/>
        </w:rPr>
      </w:pPr>
      <w:r w:rsidRPr="00695D7A">
        <w:rPr>
          <w:lang w:val="en-GB"/>
        </w:rPr>
        <w:t xml:space="preserve">An increase in risk of a nuclear accident because of the planned use of the more dangerous </w:t>
      </w:r>
      <w:r w:rsidR="00F60E7D" w:rsidRPr="001A20E3">
        <w:rPr>
          <w:lang w:val="en-GB"/>
        </w:rPr>
        <w:t>mixed oxide (</w:t>
      </w:r>
      <w:r w:rsidRPr="00695D7A">
        <w:rPr>
          <w:lang w:val="en-GB"/>
        </w:rPr>
        <w:t>MOX</w:t>
      </w:r>
      <w:r w:rsidR="00F60E7D" w:rsidRPr="001A20E3">
        <w:rPr>
          <w:lang w:val="en-GB"/>
        </w:rPr>
        <w:t xml:space="preserve">) </w:t>
      </w:r>
      <w:r w:rsidRPr="00695D7A">
        <w:rPr>
          <w:lang w:val="en-GB"/>
        </w:rPr>
        <w:t xml:space="preserve">fuel. </w:t>
      </w:r>
    </w:p>
    <w:p w:rsidR="00987BB1" w:rsidRPr="00695D7A" w:rsidRDefault="00987BB1" w:rsidP="00695D7A">
      <w:pPr>
        <w:pStyle w:val="SingleTxtG"/>
        <w:numPr>
          <w:ilvl w:val="0"/>
          <w:numId w:val="20"/>
        </w:numPr>
        <w:ind w:left="1701" w:right="0" w:firstLine="0"/>
        <w:rPr>
          <w:lang w:val="en-GB"/>
        </w:rPr>
      </w:pPr>
      <w:r w:rsidRPr="00695D7A">
        <w:rPr>
          <w:lang w:val="en-GB"/>
        </w:rPr>
        <w:t>An increased use of uranium and therefore increased environmental impacts from uranium mining, processing and fuel production;</w:t>
      </w:r>
    </w:p>
    <w:p w:rsidR="00987BB1" w:rsidRPr="00695D7A" w:rsidRDefault="00987BB1" w:rsidP="00695D7A">
      <w:pPr>
        <w:pStyle w:val="SingleTxtG"/>
        <w:numPr>
          <w:ilvl w:val="0"/>
          <w:numId w:val="20"/>
        </w:numPr>
        <w:ind w:left="1701" w:right="0" w:firstLine="0"/>
        <w:rPr>
          <w:lang w:val="en-GB"/>
        </w:rPr>
      </w:pPr>
      <w:r w:rsidRPr="00695D7A">
        <w:rPr>
          <w:lang w:val="en-GB"/>
        </w:rPr>
        <w:lastRenderedPageBreak/>
        <w:t>An increased production of radioactive waste;</w:t>
      </w:r>
    </w:p>
    <w:p w:rsidR="00987BB1" w:rsidRPr="00695D7A" w:rsidRDefault="00987BB1" w:rsidP="00695D7A">
      <w:pPr>
        <w:pStyle w:val="SingleTxtG"/>
        <w:numPr>
          <w:ilvl w:val="0"/>
          <w:numId w:val="20"/>
        </w:numPr>
        <w:ind w:left="1701" w:right="0" w:firstLine="0"/>
        <w:rPr>
          <w:lang w:val="en-GB"/>
        </w:rPr>
      </w:pPr>
      <w:r w:rsidRPr="00695D7A">
        <w:rPr>
          <w:lang w:val="en-GB"/>
        </w:rPr>
        <w:t>The production of more toxic and higher level radioactive waste from the planned use of MOX</w:t>
      </w:r>
      <w:r w:rsidR="00F60E7D" w:rsidRPr="001A20E3">
        <w:rPr>
          <w:lang w:val="en-GB"/>
        </w:rPr>
        <w:t xml:space="preserve"> </w:t>
      </w:r>
      <w:r w:rsidRPr="00695D7A">
        <w:rPr>
          <w:lang w:val="en-GB"/>
        </w:rPr>
        <w:t>fuel.</w:t>
      </w:r>
      <w:r w:rsidR="00E422E9" w:rsidRPr="00695D7A">
        <w:rPr>
          <w:rStyle w:val="FootnoteReference"/>
          <w:lang w:val="en-GB"/>
        </w:rPr>
        <w:footnoteReference w:id="39"/>
      </w:r>
    </w:p>
    <w:p w:rsidR="00806BA8" w:rsidRPr="00695D7A" w:rsidRDefault="00C0445B" w:rsidP="00695D7A">
      <w:pPr>
        <w:pStyle w:val="SingleTxtG"/>
        <w:numPr>
          <w:ilvl w:val="0"/>
          <w:numId w:val="3"/>
        </w:numPr>
        <w:tabs>
          <w:tab w:val="left" w:pos="1134"/>
        </w:tabs>
        <w:ind w:left="1134" w:right="0" w:firstLine="0"/>
        <w:rPr>
          <w:rStyle w:val="st"/>
          <w:lang w:val="en-GB"/>
        </w:rPr>
      </w:pPr>
      <w:bookmarkStart w:id="11" w:name="_Ref431989190"/>
      <w:r w:rsidRPr="00695D7A">
        <w:rPr>
          <w:rStyle w:val="st"/>
          <w:lang w:val="en-GB"/>
        </w:rPr>
        <w:t xml:space="preserve">The Party concerned refutes the communicant’s allegations. </w:t>
      </w:r>
      <w:bookmarkStart w:id="12" w:name="_Ref501034694"/>
      <w:bookmarkEnd w:id="11"/>
      <w:r w:rsidR="00D407DB" w:rsidRPr="00695D7A">
        <w:rPr>
          <w:rStyle w:val="st"/>
          <w:lang w:val="en-GB"/>
        </w:rPr>
        <w:t>It</w:t>
      </w:r>
      <w:r w:rsidR="00806BA8" w:rsidRPr="00695D7A">
        <w:rPr>
          <w:rStyle w:val="st"/>
          <w:lang w:val="en-GB"/>
        </w:rPr>
        <w:t xml:space="preserve"> claims that there was neither </w:t>
      </w:r>
      <w:r w:rsidR="00CC5AB7" w:rsidRPr="00695D7A">
        <w:rPr>
          <w:rStyle w:val="st"/>
          <w:lang w:val="en-GB"/>
        </w:rPr>
        <w:t xml:space="preserve">a </w:t>
      </w:r>
      <w:r w:rsidR="00806BA8" w:rsidRPr="00695D7A">
        <w:rPr>
          <w:rStyle w:val="st"/>
          <w:lang w:val="en-GB"/>
        </w:rPr>
        <w:t xml:space="preserve">request to change or to extend the installation of the Borssele NPP nor </w:t>
      </w:r>
      <w:r w:rsidR="00F60E7D" w:rsidRPr="00695D7A">
        <w:rPr>
          <w:rStyle w:val="st"/>
          <w:lang w:val="en-GB"/>
        </w:rPr>
        <w:t xml:space="preserve">a </w:t>
      </w:r>
      <w:r w:rsidR="00806BA8" w:rsidRPr="00695D7A">
        <w:rPr>
          <w:rStyle w:val="st"/>
          <w:lang w:val="en-GB"/>
        </w:rPr>
        <w:t xml:space="preserve">request to extend the operating time, because the initial </w:t>
      </w:r>
      <w:r w:rsidR="009516A0">
        <w:rPr>
          <w:rStyle w:val="st"/>
          <w:lang w:val="en-GB"/>
        </w:rPr>
        <w:t xml:space="preserve">1973 </w:t>
      </w:r>
      <w:r w:rsidR="0046030A">
        <w:rPr>
          <w:rStyle w:val="st"/>
          <w:lang w:val="en-GB"/>
        </w:rPr>
        <w:t>licence</w:t>
      </w:r>
      <w:r w:rsidR="00D407DB" w:rsidRPr="00695D7A">
        <w:rPr>
          <w:rStyle w:val="st"/>
          <w:lang w:val="en-GB"/>
        </w:rPr>
        <w:t xml:space="preserve"> </w:t>
      </w:r>
      <w:r w:rsidR="00806BA8" w:rsidRPr="00695D7A">
        <w:rPr>
          <w:rStyle w:val="st"/>
          <w:lang w:val="en-GB"/>
        </w:rPr>
        <w:t>was valid for an indefinite period.</w:t>
      </w:r>
      <w:r w:rsidR="0078723A" w:rsidRPr="00695D7A">
        <w:rPr>
          <w:rStyle w:val="st"/>
          <w:lang w:val="en-GB"/>
        </w:rPr>
        <w:t xml:space="preserve"> Rather, in order to make use of the </w:t>
      </w:r>
      <w:r w:rsidR="0046030A">
        <w:rPr>
          <w:rStyle w:val="st"/>
          <w:lang w:val="en-GB"/>
        </w:rPr>
        <w:t>licence</w:t>
      </w:r>
      <w:r w:rsidR="0078723A" w:rsidRPr="00695D7A">
        <w:rPr>
          <w:rStyle w:val="st"/>
          <w:lang w:val="en-GB"/>
        </w:rPr>
        <w:t xml:space="preserve"> after 2013, </w:t>
      </w:r>
      <w:r w:rsidR="009D4CF5" w:rsidRPr="00695D7A">
        <w:rPr>
          <w:rStyle w:val="st"/>
          <w:lang w:val="en-GB"/>
        </w:rPr>
        <w:t>the operator</w:t>
      </w:r>
      <w:r w:rsidR="0078723A" w:rsidRPr="00695D7A">
        <w:rPr>
          <w:rStyle w:val="st"/>
          <w:lang w:val="en-GB"/>
        </w:rPr>
        <w:t xml:space="preserve"> had to demonstrate </w:t>
      </w:r>
      <w:r w:rsidR="0078723A" w:rsidRPr="00695D7A">
        <w:rPr>
          <w:lang w:val="en-GB"/>
        </w:rPr>
        <w:t xml:space="preserve">that the continuation of operation for a longer period was still possible within the applicable technical preconditions. It states that </w:t>
      </w:r>
      <w:r w:rsidR="009D4CF5" w:rsidRPr="00695D7A">
        <w:rPr>
          <w:lang w:val="en-GB"/>
        </w:rPr>
        <w:t>the operator</w:t>
      </w:r>
      <w:r w:rsidR="0078723A" w:rsidRPr="00695D7A">
        <w:rPr>
          <w:lang w:val="en-GB"/>
        </w:rPr>
        <w:t xml:space="preserve"> provide</w:t>
      </w:r>
      <w:r w:rsidR="009D4CF5" w:rsidRPr="00695D7A">
        <w:rPr>
          <w:lang w:val="en-GB"/>
        </w:rPr>
        <w:t>d</w:t>
      </w:r>
      <w:r w:rsidR="0078723A" w:rsidRPr="00695D7A">
        <w:rPr>
          <w:lang w:val="en-GB"/>
        </w:rPr>
        <w:t xml:space="preserve"> this evidence in its </w:t>
      </w:r>
      <w:r w:rsidR="0046030A">
        <w:rPr>
          <w:lang w:val="en-GB"/>
        </w:rPr>
        <w:t>licence</w:t>
      </w:r>
      <w:r w:rsidR="0078723A" w:rsidRPr="00695D7A">
        <w:rPr>
          <w:lang w:val="en-GB"/>
        </w:rPr>
        <w:t xml:space="preserve"> application</w:t>
      </w:r>
      <w:r w:rsidR="00F60E7D" w:rsidRPr="00695D7A">
        <w:rPr>
          <w:lang w:val="en-GB"/>
        </w:rPr>
        <w:t xml:space="preserve"> dated 12 September 2012 </w:t>
      </w:r>
      <w:r w:rsidR="0078723A" w:rsidRPr="00695D7A">
        <w:rPr>
          <w:lang w:val="en-GB"/>
        </w:rPr>
        <w:t>for the extension of the design lifetime and that as a result an amendment to the Safety Report</w:t>
      </w:r>
      <w:r w:rsidR="00D407DB" w:rsidRPr="00695D7A">
        <w:rPr>
          <w:lang w:val="en-GB"/>
        </w:rPr>
        <w:t xml:space="preserve"> (extending the original design lifetime from 40 years to 60 years)</w:t>
      </w:r>
      <w:r w:rsidR="0078723A" w:rsidRPr="00695D7A">
        <w:rPr>
          <w:lang w:val="en-GB"/>
        </w:rPr>
        <w:t xml:space="preserve"> and </w:t>
      </w:r>
      <w:r w:rsidR="00F60E7D" w:rsidRPr="00695D7A">
        <w:rPr>
          <w:lang w:val="en-GB"/>
        </w:rPr>
        <w:t xml:space="preserve">a </w:t>
      </w:r>
      <w:r w:rsidR="0078723A" w:rsidRPr="00695D7A">
        <w:rPr>
          <w:lang w:val="en-GB"/>
        </w:rPr>
        <w:t xml:space="preserve">change to the </w:t>
      </w:r>
      <w:r w:rsidR="0046030A">
        <w:rPr>
          <w:lang w:val="en-GB"/>
        </w:rPr>
        <w:t>licence</w:t>
      </w:r>
      <w:r w:rsidR="0078723A" w:rsidRPr="00695D7A">
        <w:rPr>
          <w:lang w:val="en-GB"/>
        </w:rPr>
        <w:t xml:space="preserve"> was required.</w:t>
      </w:r>
      <w:r w:rsidR="00806BA8" w:rsidRPr="00695D7A">
        <w:rPr>
          <w:rStyle w:val="st"/>
          <w:lang w:val="en-GB"/>
        </w:rPr>
        <w:t xml:space="preserve"> </w:t>
      </w:r>
      <w:r w:rsidR="0078723A" w:rsidRPr="00695D7A">
        <w:rPr>
          <w:rStyle w:val="st"/>
          <w:lang w:val="en-GB"/>
        </w:rPr>
        <w:t>The</w:t>
      </w:r>
      <w:r w:rsidR="00EB13FA" w:rsidRPr="00695D7A">
        <w:rPr>
          <w:rStyle w:val="st"/>
          <w:lang w:val="en-GB"/>
        </w:rPr>
        <w:t xml:space="preserve"> Party concerned </w:t>
      </w:r>
      <w:r w:rsidR="00F60E7D" w:rsidRPr="00695D7A">
        <w:rPr>
          <w:rStyle w:val="st"/>
          <w:lang w:val="en-GB"/>
        </w:rPr>
        <w:t xml:space="preserve">submits </w:t>
      </w:r>
      <w:r w:rsidR="00EB13FA" w:rsidRPr="00695D7A">
        <w:rPr>
          <w:rStyle w:val="st"/>
          <w:lang w:val="en-GB"/>
        </w:rPr>
        <w:t xml:space="preserve">that </w:t>
      </w:r>
      <w:r w:rsidR="0078723A" w:rsidRPr="00695D7A">
        <w:rPr>
          <w:rStyle w:val="st"/>
          <w:lang w:val="en-GB"/>
        </w:rPr>
        <w:t xml:space="preserve">accordingly </w:t>
      </w:r>
      <w:r w:rsidR="00EB13FA" w:rsidRPr="00695D7A">
        <w:rPr>
          <w:rStyle w:val="st"/>
          <w:lang w:val="en-GB"/>
        </w:rPr>
        <w:t xml:space="preserve">the extension of the design lifetime of the Borssele NPP is not an activity listed in Annex I of the Convention and does not constitute a proposed activity within the meaning of </w:t>
      </w:r>
      <w:r w:rsidR="00F60E7D" w:rsidRPr="00695D7A">
        <w:rPr>
          <w:rStyle w:val="st"/>
          <w:lang w:val="en-GB"/>
        </w:rPr>
        <w:t xml:space="preserve">article </w:t>
      </w:r>
      <w:r w:rsidR="00EB13FA" w:rsidRPr="00695D7A">
        <w:rPr>
          <w:rStyle w:val="st"/>
          <w:lang w:val="en-GB"/>
        </w:rPr>
        <w:t>6, paragraph 1</w:t>
      </w:r>
      <w:r w:rsidR="009516A0">
        <w:rPr>
          <w:rStyle w:val="st"/>
          <w:lang w:val="en-GB"/>
        </w:rPr>
        <w:t xml:space="preserve"> </w:t>
      </w:r>
      <w:r w:rsidR="00EB13FA" w:rsidRPr="00695D7A">
        <w:rPr>
          <w:rStyle w:val="st"/>
          <w:lang w:val="en-GB"/>
        </w:rPr>
        <w:t>(a).</w:t>
      </w:r>
      <w:r w:rsidR="00EB13FA" w:rsidRPr="00695D7A">
        <w:rPr>
          <w:rStyle w:val="FootnoteReference"/>
          <w:lang w:val="en-GB"/>
        </w:rPr>
        <w:footnoteReference w:id="40"/>
      </w:r>
      <w:bookmarkEnd w:id="12"/>
    </w:p>
    <w:p w:rsidR="00952E32" w:rsidRPr="00695D7A" w:rsidRDefault="00952E32" w:rsidP="00A734E7">
      <w:pPr>
        <w:pStyle w:val="SingleTxtG"/>
        <w:numPr>
          <w:ilvl w:val="0"/>
          <w:numId w:val="3"/>
        </w:numPr>
        <w:tabs>
          <w:tab w:val="clear" w:pos="1711"/>
          <w:tab w:val="left" w:pos="1134"/>
          <w:tab w:val="num" w:pos="1701"/>
        </w:tabs>
        <w:ind w:left="1134" w:right="0" w:firstLine="0"/>
        <w:rPr>
          <w:rStyle w:val="st"/>
          <w:lang w:val="en-GB"/>
        </w:rPr>
      </w:pPr>
      <w:r w:rsidRPr="00695D7A">
        <w:rPr>
          <w:rStyle w:val="st"/>
          <w:lang w:val="en-GB"/>
        </w:rPr>
        <w:t xml:space="preserve">The Party concerned </w:t>
      </w:r>
      <w:r w:rsidR="009D4CF5" w:rsidRPr="00695D7A">
        <w:rPr>
          <w:rStyle w:val="st"/>
          <w:lang w:val="en-GB"/>
        </w:rPr>
        <w:t xml:space="preserve">submits </w:t>
      </w:r>
      <w:r w:rsidR="00F60E7D" w:rsidRPr="00695D7A">
        <w:rPr>
          <w:rStyle w:val="st"/>
          <w:lang w:val="en-GB"/>
        </w:rPr>
        <w:t xml:space="preserve">that </w:t>
      </w:r>
      <w:r w:rsidR="00366108" w:rsidRPr="00695D7A">
        <w:rPr>
          <w:rStyle w:val="st"/>
          <w:lang w:val="en-GB"/>
        </w:rPr>
        <w:t xml:space="preserve">the extension of the design lifetime of the Borssele NPP </w:t>
      </w:r>
      <w:r w:rsidR="00F60E7D" w:rsidRPr="00695D7A">
        <w:rPr>
          <w:rStyle w:val="st"/>
          <w:lang w:val="en-GB"/>
        </w:rPr>
        <w:t>does not fall under</w:t>
      </w:r>
      <w:r w:rsidR="00366108" w:rsidRPr="00695D7A">
        <w:rPr>
          <w:rStyle w:val="st"/>
          <w:lang w:val="en-GB"/>
        </w:rPr>
        <w:t xml:space="preserve"> article 6, paragraph 1</w:t>
      </w:r>
      <w:r w:rsidR="009516A0">
        <w:rPr>
          <w:rStyle w:val="st"/>
          <w:lang w:val="en-GB"/>
        </w:rPr>
        <w:t xml:space="preserve"> </w:t>
      </w:r>
      <w:r w:rsidR="00366108" w:rsidRPr="00695D7A">
        <w:rPr>
          <w:rStyle w:val="st"/>
          <w:lang w:val="en-GB"/>
        </w:rPr>
        <w:t>(b) of the Convention</w:t>
      </w:r>
      <w:r w:rsidR="00F60E7D" w:rsidRPr="00695D7A">
        <w:rPr>
          <w:rStyle w:val="st"/>
          <w:lang w:val="en-GB"/>
        </w:rPr>
        <w:t xml:space="preserve"> either. It</w:t>
      </w:r>
      <w:r w:rsidR="00366108" w:rsidRPr="00695D7A">
        <w:rPr>
          <w:rStyle w:val="st"/>
          <w:lang w:val="en-GB"/>
        </w:rPr>
        <w:t xml:space="preserve"> </w:t>
      </w:r>
      <w:r w:rsidR="00F60E7D" w:rsidRPr="00695D7A">
        <w:rPr>
          <w:rStyle w:val="st"/>
          <w:lang w:val="en-GB"/>
        </w:rPr>
        <w:t xml:space="preserve">contends that the extension does not concern whether the </w:t>
      </w:r>
      <w:r w:rsidRPr="00695D7A">
        <w:rPr>
          <w:rStyle w:val="st"/>
          <w:lang w:val="en-GB"/>
        </w:rPr>
        <w:t xml:space="preserve">exploitation </w:t>
      </w:r>
      <w:r w:rsidR="00F60E7D" w:rsidRPr="00695D7A">
        <w:rPr>
          <w:rStyle w:val="st"/>
          <w:lang w:val="en-GB"/>
        </w:rPr>
        <w:t xml:space="preserve">of the NPP </w:t>
      </w:r>
      <w:r w:rsidRPr="00695D7A">
        <w:rPr>
          <w:rStyle w:val="st"/>
          <w:lang w:val="en-GB"/>
        </w:rPr>
        <w:t>can be extended but only the ad</w:t>
      </w:r>
      <w:r w:rsidR="000E5C7E" w:rsidRPr="00695D7A">
        <w:rPr>
          <w:rStyle w:val="st"/>
          <w:lang w:val="en-GB"/>
        </w:rPr>
        <w:t>aptation of the Safety Report.</w:t>
      </w:r>
      <w:r w:rsidR="00CE046B" w:rsidRPr="00695D7A">
        <w:rPr>
          <w:rStyle w:val="FootnoteReference"/>
          <w:lang w:val="en-GB"/>
        </w:rPr>
        <w:footnoteReference w:id="41"/>
      </w:r>
      <w:r w:rsidR="000E5C7E" w:rsidRPr="00695D7A">
        <w:rPr>
          <w:rStyle w:val="st"/>
          <w:lang w:val="en-GB"/>
        </w:rPr>
        <w:t xml:space="preserve"> </w:t>
      </w:r>
      <w:r w:rsidR="00CE046B" w:rsidRPr="00695D7A">
        <w:rPr>
          <w:rStyle w:val="st"/>
          <w:lang w:val="en-GB"/>
        </w:rPr>
        <w:t>It</w:t>
      </w:r>
      <w:r w:rsidRPr="00695D7A">
        <w:rPr>
          <w:rStyle w:val="st"/>
          <w:lang w:val="en-GB"/>
        </w:rPr>
        <w:t xml:space="preserve"> </w:t>
      </w:r>
      <w:r w:rsidR="009D4CF5" w:rsidRPr="00695D7A">
        <w:rPr>
          <w:rStyle w:val="st"/>
          <w:lang w:val="en-GB"/>
        </w:rPr>
        <w:t>alleges</w:t>
      </w:r>
      <w:r w:rsidR="00CE046B" w:rsidRPr="00695D7A">
        <w:rPr>
          <w:rStyle w:val="st"/>
          <w:lang w:val="en-GB"/>
        </w:rPr>
        <w:t xml:space="preserve"> </w:t>
      </w:r>
      <w:r w:rsidRPr="00695D7A">
        <w:rPr>
          <w:rStyle w:val="st"/>
          <w:lang w:val="en-GB"/>
        </w:rPr>
        <w:t xml:space="preserve">that the amendments in the Safety Report do not concern any change to or extension of the operation of the Borssele NPP and, consequently, do not have more or less favourable environmental impacts than those considered in previous </w:t>
      </w:r>
      <w:r w:rsidR="0046030A">
        <w:rPr>
          <w:rStyle w:val="st"/>
          <w:lang w:val="en-GB"/>
        </w:rPr>
        <w:t>licence</w:t>
      </w:r>
      <w:r w:rsidRPr="00695D7A">
        <w:rPr>
          <w:rStyle w:val="st"/>
          <w:lang w:val="en-GB"/>
        </w:rPr>
        <w:t>s</w:t>
      </w:r>
      <w:r w:rsidR="00F60E7D" w:rsidRPr="00695D7A">
        <w:rPr>
          <w:rStyle w:val="st"/>
          <w:lang w:val="en-GB"/>
        </w:rPr>
        <w:t xml:space="preserve"> </w:t>
      </w:r>
      <w:r w:rsidR="00487263" w:rsidRPr="00695D7A">
        <w:rPr>
          <w:rStyle w:val="st"/>
          <w:lang w:val="en-GB"/>
        </w:rPr>
        <w:t>and a</w:t>
      </w:r>
      <w:r w:rsidR="00F60E7D" w:rsidRPr="00695D7A">
        <w:rPr>
          <w:rStyle w:val="st"/>
          <w:lang w:val="en-GB"/>
        </w:rPr>
        <w:t>ccordingly, the extension of the design lifetime of the Borssele NPP is not a proposed activity within the meaning of article 6, paragraph 1</w:t>
      </w:r>
      <w:r w:rsidR="009516A0">
        <w:rPr>
          <w:rStyle w:val="st"/>
          <w:lang w:val="en-GB"/>
        </w:rPr>
        <w:t xml:space="preserve"> </w:t>
      </w:r>
      <w:r w:rsidR="00F60E7D" w:rsidRPr="00695D7A">
        <w:rPr>
          <w:rStyle w:val="st"/>
          <w:lang w:val="en-GB"/>
        </w:rPr>
        <w:t>(b).</w:t>
      </w:r>
      <w:r w:rsidR="00487263" w:rsidRPr="00695D7A">
        <w:rPr>
          <w:rStyle w:val="FootnoteReference"/>
          <w:lang w:val="en-GB"/>
        </w:rPr>
        <w:footnoteReference w:id="42"/>
      </w:r>
    </w:p>
    <w:p w:rsidR="00B17C24" w:rsidRPr="00695D7A" w:rsidRDefault="00CE046B" w:rsidP="00A734E7">
      <w:pPr>
        <w:pStyle w:val="SingleTxtG"/>
        <w:numPr>
          <w:ilvl w:val="0"/>
          <w:numId w:val="3"/>
        </w:numPr>
        <w:tabs>
          <w:tab w:val="clear" w:pos="1711"/>
          <w:tab w:val="left" w:pos="1134"/>
          <w:tab w:val="num" w:pos="1701"/>
        </w:tabs>
        <w:ind w:left="1134" w:right="0" w:firstLine="0"/>
        <w:rPr>
          <w:rStyle w:val="st"/>
          <w:lang w:val="en-GB"/>
        </w:rPr>
      </w:pPr>
      <w:bookmarkStart w:id="13" w:name="_Ref498440464"/>
      <w:bookmarkStart w:id="14" w:name="_Ref501034561"/>
      <w:r w:rsidRPr="00695D7A">
        <w:rPr>
          <w:rStyle w:val="st"/>
          <w:lang w:val="en-GB"/>
        </w:rPr>
        <w:t>T</w:t>
      </w:r>
      <w:r w:rsidR="00B17C24" w:rsidRPr="00695D7A">
        <w:rPr>
          <w:rStyle w:val="st"/>
          <w:lang w:val="en-GB"/>
        </w:rPr>
        <w:t xml:space="preserve">he </w:t>
      </w:r>
      <w:r w:rsidR="00D64EAC" w:rsidRPr="00695D7A">
        <w:rPr>
          <w:rStyle w:val="st"/>
          <w:lang w:val="en-GB"/>
        </w:rPr>
        <w:t xml:space="preserve">Party concerned </w:t>
      </w:r>
      <w:r w:rsidRPr="00695D7A">
        <w:rPr>
          <w:rStyle w:val="st"/>
          <w:lang w:val="en-GB"/>
        </w:rPr>
        <w:t xml:space="preserve">further </w:t>
      </w:r>
      <w:r w:rsidR="00B17C24" w:rsidRPr="00695D7A">
        <w:rPr>
          <w:rStyle w:val="st"/>
          <w:lang w:val="en-GB"/>
        </w:rPr>
        <w:t xml:space="preserve">submits </w:t>
      </w:r>
      <w:r w:rsidR="00D64EAC" w:rsidRPr="00695D7A">
        <w:rPr>
          <w:rStyle w:val="st"/>
          <w:lang w:val="en-GB"/>
        </w:rPr>
        <w:t xml:space="preserve">that </w:t>
      </w:r>
      <w:r w:rsidR="000B1850" w:rsidRPr="00695D7A">
        <w:rPr>
          <w:rStyle w:val="st"/>
          <w:lang w:val="en-GB"/>
        </w:rPr>
        <w:t xml:space="preserve">the extension </w:t>
      </w:r>
      <w:r w:rsidR="009D4CF5" w:rsidRPr="00695D7A">
        <w:rPr>
          <w:rStyle w:val="st"/>
          <w:lang w:val="en-GB"/>
        </w:rPr>
        <w:t>does</w:t>
      </w:r>
      <w:r w:rsidRPr="00695D7A">
        <w:rPr>
          <w:rStyle w:val="st"/>
          <w:lang w:val="en-GB"/>
        </w:rPr>
        <w:t xml:space="preserve"> </w:t>
      </w:r>
      <w:r w:rsidR="000B1850" w:rsidRPr="00695D7A">
        <w:rPr>
          <w:rStyle w:val="st"/>
          <w:lang w:val="en-GB"/>
        </w:rPr>
        <w:t xml:space="preserve">not </w:t>
      </w:r>
      <w:r w:rsidR="009D4CF5" w:rsidRPr="00695D7A">
        <w:rPr>
          <w:rStyle w:val="st"/>
          <w:lang w:val="en-GB"/>
        </w:rPr>
        <w:t xml:space="preserve">fall </w:t>
      </w:r>
      <w:r w:rsidRPr="00695D7A">
        <w:rPr>
          <w:rStyle w:val="st"/>
          <w:lang w:val="en-GB"/>
        </w:rPr>
        <w:t xml:space="preserve">under </w:t>
      </w:r>
      <w:r w:rsidR="00D407DB" w:rsidRPr="00695D7A">
        <w:rPr>
          <w:rStyle w:val="st"/>
          <w:lang w:val="en-GB"/>
        </w:rPr>
        <w:t xml:space="preserve">article 6, paragraph 10, of the Convention </w:t>
      </w:r>
      <w:r w:rsidRPr="00695D7A">
        <w:rPr>
          <w:rStyle w:val="st"/>
          <w:lang w:val="en-GB"/>
        </w:rPr>
        <w:t>because</w:t>
      </w:r>
      <w:r w:rsidR="000B1850" w:rsidRPr="00695D7A">
        <w:rPr>
          <w:rStyle w:val="st"/>
          <w:lang w:val="en-GB"/>
        </w:rPr>
        <w:t xml:space="preserve"> </w:t>
      </w:r>
      <w:r w:rsidR="00D64EAC" w:rsidRPr="00695D7A">
        <w:rPr>
          <w:rStyle w:val="st"/>
          <w:lang w:val="en-GB"/>
        </w:rPr>
        <w:t xml:space="preserve">the extension of the design lifetime of the Borssele NPP neither </w:t>
      </w:r>
      <w:r w:rsidR="009D4CF5" w:rsidRPr="00695D7A">
        <w:rPr>
          <w:rStyle w:val="st"/>
          <w:lang w:val="en-GB"/>
        </w:rPr>
        <w:t xml:space="preserve">involved </w:t>
      </w:r>
      <w:r w:rsidR="00D64EAC" w:rsidRPr="00695D7A">
        <w:rPr>
          <w:rStyle w:val="st"/>
          <w:lang w:val="en-GB"/>
        </w:rPr>
        <w:t xml:space="preserve">any physical change to or extension, nor </w:t>
      </w:r>
      <w:r w:rsidR="009D4CF5" w:rsidRPr="00695D7A">
        <w:rPr>
          <w:rStyle w:val="st"/>
          <w:lang w:val="en-GB"/>
        </w:rPr>
        <w:t xml:space="preserve">had </w:t>
      </w:r>
      <w:r w:rsidR="00D64EAC" w:rsidRPr="00695D7A">
        <w:rPr>
          <w:rStyle w:val="st"/>
          <w:lang w:val="en-GB"/>
        </w:rPr>
        <w:t>any potential significant effect on the environment.</w:t>
      </w:r>
      <w:r w:rsidR="00366108" w:rsidRPr="00695D7A">
        <w:rPr>
          <w:rStyle w:val="FootnoteReference"/>
          <w:lang w:val="en-GB"/>
        </w:rPr>
        <w:footnoteReference w:id="43"/>
      </w:r>
      <w:r w:rsidR="00D64EAC" w:rsidRPr="00695D7A">
        <w:rPr>
          <w:rStyle w:val="st"/>
          <w:lang w:val="en-GB"/>
        </w:rPr>
        <w:t xml:space="preserve"> The Party concerned submits that, in view of </w:t>
      </w:r>
      <w:r w:rsidRPr="00695D7A">
        <w:rPr>
          <w:rStyle w:val="st"/>
          <w:lang w:val="en-GB"/>
        </w:rPr>
        <w:t>the Committee’s findings on communication ACCC/C/2009/41 (Slovakia)</w:t>
      </w:r>
      <w:r w:rsidR="007E460F" w:rsidRPr="001A20E3">
        <w:rPr>
          <w:rStyle w:val="st"/>
          <w:lang w:val="en-GB"/>
        </w:rPr>
        <w:t>,</w:t>
      </w:r>
      <w:r w:rsidR="00D64EAC" w:rsidRPr="00695D7A">
        <w:rPr>
          <w:rStyle w:val="FootnoteReference"/>
          <w:lang w:val="en-GB"/>
        </w:rPr>
        <w:footnoteReference w:id="44"/>
      </w:r>
      <w:r w:rsidR="00D64EAC" w:rsidRPr="00695D7A">
        <w:rPr>
          <w:rStyle w:val="FootnoteReference"/>
          <w:lang w:val="en-GB"/>
        </w:rPr>
        <w:t xml:space="preserve"> </w:t>
      </w:r>
      <w:r w:rsidR="00D64EAC" w:rsidRPr="00695D7A">
        <w:rPr>
          <w:rStyle w:val="st"/>
          <w:lang w:val="en-GB"/>
        </w:rPr>
        <w:t xml:space="preserve">the adaptation of the Safety Report necessary for the extension of the design lifetime </w:t>
      </w:r>
      <w:r w:rsidR="00487263" w:rsidRPr="00695D7A">
        <w:rPr>
          <w:rStyle w:val="st"/>
          <w:lang w:val="en-GB"/>
        </w:rPr>
        <w:t xml:space="preserve">could </w:t>
      </w:r>
      <w:r w:rsidR="00D64EAC" w:rsidRPr="00695D7A">
        <w:rPr>
          <w:rStyle w:val="st"/>
          <w:lang w:val="en-GB"/>
        </w:rPr>
        <w:t>be considered to involve a reconsideration and update of the operating conditions of the Borssele NPP.</w:t>
      </w:r>
      <w:r w:rsidR="00366108" w:rsidRPr="00695D7A">
        <w:rPr>
          <w:rStyle w:val="FootnoteReference"/>
          <w:lang w:val="en-GB"/>
        </w:rPr>
        <w:footnoteReference w:id="45"/>
      </w:r>
      <w:r w:rsidR="00213D26" w:rsidRPr="00695D7A">
        <w:rPr>
          <w:rStyle w:val="st"/>
          <w:lang w:val="en-GB"/>
        </w:rPr>
        <w:t xml:space="preserve"> It distinguishes </w:t>
      </w:r>
      <w:r w:rsidR="00487263" w:rsidRPr="00695D7A">
        <w:rPr>
          <w:rStyle w:val="st"/>
          <w:lang w:val="en-GB"/>
        </w:rPr>
        <w:t>the earlier case</w:t>
      </w:r>
      <w:r w:rsidR="00213D26" w:rsidRPr="00695D7A">
        <w:rPr>
          <w:rStyle w:val="st"/>
          <w:lang w:val="en-GB"/>
        </w:rPr>
        <w:t xml:space="preserve">, however, on the basis that </w:t>
      </w:r>
      <w:r w:rsidR="00487263" w:rsidRPr="00695D7A">
        <w:rPr>
          <w:rStyle w:val="st"/>
          <w:lang w:val="en-GB"/>
        </w:rPr>
        <w:t>that case</w:t>
      </w:r>
      <w:r w:rsidR="00213D26" w:rsidRPr="00695D7A">
        <w:rPr>
          <w:rStyle w:val="st"/>
          <w:lang w:val="en-GB"/>
        </w:rPr>
        <w:t xml:space="preserve"> concerned the </w:t>
      </w:r>
      <w:r w:rsidR="00BB0B18" w:rsidRPr="00695D7A">
        <w:t>construction of two new units, which were, until that time, not in operation</w:t>
      </w:r>
      <w:r w:rsidR="00BB0B18" w:rsidRPr="00695D7A">
        <w:rPr>
          <w:lang w:val="en-US"/>
        </w:rPr>
        <w:t xml:space="preserve">, and the related </w:t>
      </w:r>
      <w:r w:rsidR="00BB0B18" w:rsidRPr="00695D7A">
        <w:t xml:space="preserve">decisions entailed a number of new conditions for the </w:t>
      </w:r>
      <w:r w:rsidR="00BB0B18" w:rsidRPr="00695D7A">
        <w:rPr>
          <w:lang w:val="en-US"/>
        </w:rPr>
        <w:t xml:space="preserve">operation of the </w:t>
      </w:r>
      <w:r w:rsidR="00BB0B18" w:rsidRPr="00695D7A">
        <w:t xml:space="preserve">NPP </w:t>
      </w:r>
      <w:r w:rsidR="00BB0B18" w:rsidRPr="00695D7A">
        <w:rPr>
          <w:lang w:val="en-US"/>
        </w:rPr>
        <w:t>in that case. It submits that in contrast, the updating of the Safety Report for</w:t>
      </w:r>
      <w:r w:rsidR="00BB0B18" w:rsidRPr="00695D7A">
        <w:t xml:space="preserve"> the Borssele NPP did not entail reconsideration or updating of the operating conditions</w:t>
      </w:r>
      <w:r w:rsidR="00D23BFC" w:rsidRPr="00695D7A">
        <w:rPr>
          <w:lang w:val="en-US"/>
        </w:rPr>
        <w:t xml:space="preserve"> as set out in a</w:t>
      </w:r>
      <w:r w:rsidR="00BB0B18" w:rsidRPr="00695D7A">
        <w:t>rticle 6, paragraph 10, of the Convention, because the operating limits and conditions and the technical parameters of the Borssele NPP did not change</w:t>
      </w:r>
      <w:r w:rsidR="00213D26" w:rsidRPr="00695D7A">
        <w:rPr>
          <w:rStyle w:val="st"/>
          <w:lang w:val="en-GB"/>
        </w:rPr>
        <w:t>.</w:t>
      </w:r>
      <w:r w:rsidR="00213D26" w:rsidRPr="00695D7A">
        <w:rPr>
          <w:rStyle w:val="FootnoteReference"/>
          <w:lang w:val="en-GB"/>
        </w:rPr>
        <w:footnoteReference w:id="46"/>
      </w:r>
      <w:r w:rsidR="00D64EAC" w:rsidRPr="00695D7A">
        <w:rPr>
          <w:rStyle w:val="st"/>
          <w:lang w:val="en-GB"/>
        </w:rPr>
        <w:t xml:space="preserve"> </w:t>
      </w:r>
      <w:r w:rsidR="00213D26" w:rsidRPr="00695D7A">
        <w:rPr>
          <w:rStyle w:val="st"/>
          <w:lang w:val="en-GB"/>
        </w:rPr>
        <w:t>T</w:t>
      </w:r>
      <w:r w:rsidR="00A144B5" w:rsidRPr="00695D7A">
        <w:rPr>
          <w:rStyle w:val="st"/>
          <w:lang w:val="en-GB"/>
        </w:rPr>
        <w:t>he Party concerned</w:t>
      </w:r>
      <w:r w:rsidR="00213D26" w:rsidRPr="00695D7A">
        <w:rPr>
          <w:rStyle w:val="st"/>
          <w:lang w:val="en-GB"/>
        </w:rPr>
        <w:t xml:space="preserve"> </w:t>
      </w:r>
      <w:r w:rsidR="00487263" w:rsidRPr="00695D7A">
        <w:rPr>
          <w:rStyle w:val="st"/>
          <w:lang w:val="en-GB"/>
        </w:rPr>
        <w:t>suggests</w:t>
      </w:r>
      <w:r w:rsidR="00213D26" w:rsidRPr="00695D7A">
        <w:rPr>
          <w:rStyle w:val="st"/>
          <w:lang w:val="en-GB"/>
        </w:rPr>
        <w:t xml:space="preserve"> that</w:t>
      </w:r>
      <w:r w:rsidR="00D64EAC" w:rsidRPr="00695D7A">
        <w:rPr>
          <w:rStyle w:val="st"/>
          <w:lang w:val="en-GB"/>
        </w:rPr>
        <w:t xml:space="preserve"> the implementation of the Convention may benefit from further guidance by the Committee on the exact meaning of the term “operating conditions”.</w:t>
      </w:r>
      <w:bookmarkEnd w:id="13"/>
      <w:r w:rsidR="00366108" w:rsidRPr="00695D7A">
        <w:rPr>
          <w:rStyle w:val="FootnoteReference"/>
          <w:lang w:val="en-GB"/>
        </w:rPr>
        <w:footnoteReference w:id="47"/>
      </w:r>
      <w:bookmarkEnd w:id="14"/>
    </w:p>
    <w:p w:rsidR="00D64EAC" w:rsidRPr="00695D7A" w:rsidRDefault="00A144B5" w:rsidP="00A734E7">
      <w:pPr>
        <w:pStyle w:val="SingleTxtG"/>
        <w:numPr>
          <w:ilvl w:val="0"/>
          <w:numId w:val="3"/>
        </w:numPr>
        <w:tabs>
          <w:tab w:val="clear" w:pos="1711"/>
          <w:tab w:val="left" w:pos="1134"/>
          <w:tab w:val="num" w:pos="1701"/>
        </w:tabs>
        <w:ind w:left="1134" w:right="0" w:firstLine="0"/>
        <w:rPr>
          <w:rStyle w:val="st"/>
          <w:lang w:val="en-GB"/>
        </w:rPr>
      </w:pPr>
      <w:r w:rsidRPr="00695D7A">
        <w:rPr>
          <w:rStyle w:val="st"/>
          <w:lang w:val="en-GB"/>
        </w:rPr>
        <w:lastRenderedPageBreak/>
        <w:t>T</w:t>
      </w:r>
      <w:r w:rsidR="00D64EAC" w:rsidRPr="00695D7A">
        <w:rPr>
          <w:rStyle w:val="st"/>
          <w:lang w:val="en-GB"/>
        </w:rPr>
        <w:t>he Party concerned</w:t>
      </w:r>
      <w:r w:rsidRPr="00695D7A">
        <w:rPr>
          <w:rStyle w:val="st"/>
          <w:lang w:val="en-GB"/>
        </w:rPr>
        <w:t xml:space="preserve"> </w:t>
      </w:r>
      <w:r w:rsidR="00360479" w:rsidRPr="00695D7A">
        <w:rPr>
          <w:rStyle w:val="st"/>
          <w:lang w:val="en-GB"/>
        </w:rPr>
        <w:t>submits</w:t>
      </w:r>
      <w:r w:rsidR="009D4CF5" w:rsidRPr="00695D7A">
        <w:rPr>
          <w:rStyle w:val="st"/>
          <w:lang w:val="en-GB"/>
        </w:rPr>
        <w:t xml:space="preserve"> </w:t>
      </w:r>
      <w:r w:rsidR="00D64EAC" w:rsidRPr="00695D7A">
        <w:rPr>
          <w:rStyle w:val="st"/>
          <w:lang w:val="en-GB"/>
        </w:rPr>
        <w:t>that</w:t>
      </w:r>
      <w:r w:rsidR="00360479" w:rsidRPr="00695D7A">
        <w:rPr>
          <w:rStyle w:val="st"/>
          <w:lang w:val="en-GB"/>
        </w:rPr>
        <w:t>,</w:t>
      </w:r>
      <w:r w:rsidR="00D64EAC" w:rsidRPr="00695D7A">
        <w:rPr>
          <w:rStyle w:val="st"/>
          <w:lang w:val="en-GB"/>
        </w:rPr>
        <w:t xml:space="preserve"> if the Committee </w:t>
      </w:r>
      <w:r w:rsidRPr="00695D7A">
        <w:rPr>
          <w:rStyle w:val="st"/>
          <w:lang w:val="en-GB"/>
        </w:rPr>
        <w:t xml:space="preserve">should conclude </w:t>
      </w:r>
      <w:r w:rsidR="00D64EAC" w:rsidRPr="00695D7A">
        <w:rPr>
          <w:rStyle w:val="st"/>
          <w:lang w:val="en-GB"/>
        </w:rPr>
        <w:t xml:space="preserve">that the term </w:t>
      </w:r>
      <w:r w:rsidR="000B1850" w:rsidRPr="00695D7A">
        <w:rPr>
          <w:rStyle w:val="st"/>
          <w:lang w:val="en-GB"/>
        </w:rPr>
        <w:t xml:space="preserve">“operating conditions” </w:t>
      </w:r>
      <w:r w:rsidR="00D64EAC" w:rsidRPr="00695D7A">
        <w:rPr>
          <w:rStyle w:val="st"/>
          <w:lang w:val="en-GB"/>
        </w:rPr>
        <w:t xml:space="preserve">includes the adaptation of the Safety Report </w:t>
      </w:r>
      <w:r w:rsidR="00360479" w:rsidRPr="00695D7A">
        <w:rPr>
          <w:rStyle w:val="st"/>
          <w:lang w:val="en-GB"/>
        </w:rPr>
        <w:t>for</w:t>
      </w:r>
      <w:r w:rsidR="00D64EAC" w:rsidRPr="00695D7A">
        <w:rPr>
          <w:rStyle w:val="st"/>
          <w:lang w:val="en-GB"/>
        </w:rPr>
        <w:t xml:space="preserve"> the Borssele NPP,  it applied the provisions of article 6, paragraphs 2 to 9, “mutatis mutandis, and where appropriate”</w:t>
      </w:r>
      <w:r w:rsidR="006236BF" w:rsidRPr="00695D7A">
        <w:rPr>
          <w:rStyle w:val="st"/>
          <w:lang w:val="en-GB"/>
        </w:rPr>
        <w:t xml:space="preserve"> </w:t>
      </w:r>
      <w:r w:rsidR="00D407DB" w:rsidRPr="00695D7A">
        <w:rPr>
          <w:rStyle w:val="st"/>
          <w:lang w:val="en-GB"/>
        </w:rPr>
        <w:t>and therefore complied with the Convention in any event</w:t>
      </w:r>
      <w:r w:rsidR="00D64EAC" w:rsidRPr="00695D7A">
        <w:rPr>
          <w:rStyle w:val="st"/>
          <w:lang w:val="en-GB"/>
        </w:rPr>
        <w:t>.</w:t>
      </w:r>
      <w:r w:rsidR="00D64EAC" w:rsidRPr="00695D7A">
        <w:rPr>
          <w:rStyle w:val="FootnoteReference"/>
          <w:lang w:val="en-GB"/>
        </w:rPr>
        <w:footnoteReference w:id="48"/>
      </w:r>
    </w:p>
    <w:p w:rsidR="00D64EAC" w:rsidRPr="001A20E3" w:rsidRDefault="00D64EAC" w:rsidP="00A734E7">
      <w:pPr>
        <w:pStyle w:val="SingleTxtG"/>
        <w:tabs>
          <w:tab w:val="left" w:pos="1134"/>
          <w:tab w:val="num" w:pos="1701"/>
        </w:tabs>
        <w:ind w:right="0"/>
        <w:rPr>
          <w:rStyle w:val="st"/>
          <w:b/>
          <w:i/>
          <w:lang w:val="en-GB"/>
        </w:rPr>
      </w:pPr>
    </w:p>
    <w:p w:rsidR="00000DBE" w:rsidRPr="006613D3" w:rsidRDefault="00E437A2" w:rsidP="00A734E7">
      <w:pPr>
        <w:pStyle w:val="SingleTxtG"/>
        <w:tabs>
          <w:tab w:val="left" w:pos="1134"/>
          <w:tab w:val="num" w:pos="1701"/>
        </w:tabs>
        <w:ind w:right="0"/>
        <w:rPr>
          <w:rStyle w:val="st"/>
          <w:b/>
          <w:lang w:val="en-GB"/>
        </w:rPr>
      </w:pPr>
      <w:r w:rsidRPr="006613D3">
        <w:rPr>
          <w:rStyle w:val="st"/>
          <w:b/>
          <w:lang w:val="en-GB"/>
        </w:rPr>
        <w:t>Public participation under article 6 of the Convention</w:t>
      </w:r>
    </w:p>
    <w:p w:rsidR="00BA2AFD" w:rsidRPr="00695D7A" w:rsidRDefault="0063153F" w:rsidP="00695D7A">
      <w:pPr>
        <w:pStyle w:val="SingleTxtG"/>
        <w:tabs>
          <w:tab w:val="left" w:pos="1134"/>
        </w:tabs>
        <w:ind w:right="0"/>
        <w:rPr>
          <w:rStyle w:val="st"/>
          <w:i/>
          <w:lang w:val="en-GB"/>
        </w:rPr>
      </w:pPr>
      <w:r w:rsidRPr="001A20E3">
        <w:rPr>
          <w:rStyle w:val="st"/>
          <w:i/>
          <w:lang w:val="en-GB"/>
        </w:rPr>
        <w:t xml:space="preserve">Public participation on the </w:t>
      </w:r>
      <w:r w:rsidR="0046030A">
        <w:rPr>
          <w:rStyle w:val="st"/>
          <w:i/>
          <w:lang w:val="en-GB"/>
        </w:rPr>
        <w:t>licence</w:t>
      </w:r>
      <w:r w:rsidR="00BA2AFD" w:rsidRPr="00695D7A">
        <w:rPr>
          <w:rStyle w:val="st"/>
          <w:i/>
          <w:lang w:val="en-GB"/>
        </w:rPr>
        <w:t xml:space="preserve"> for the extension of the design lifetime of the Borssele NPP</w:t>
      </w:r>
      <w:r w:rsidR="00BA2AFD" w:rsidRPr="001A20E3" w:rsidDel="00BA2AFD">
        <w:rPr>
          <w:rStyle w:val="st"/>
          <w:i/>
          <w:lang w:val="en-GB"/>
        </w:rPr>
        <w:t xml:space="preserve"> </w:t>
      </w:r>
    </w:p>
    <w:p w:rsidR="00B21682" w:rsidRPr="001A20E3" w:rsidRDefault="00B21682" w:rsidP="00695D7A">
      <w:pPr>
        <w:pStyle w:val="SingleTxtG"/>
        <w:numPr>
          <w:ilvl w:val="0"/>
          <w:numId w:val="3"/>
        </w:numPr>
        <w:tabs>
          <w:tab w:val="clear" w:pos="1711"/>
          <w:tab w:val="left" w:pos="1134"/>
        </w:tabs>
        <w:ind w:left="1134" w:right="0" w:firstLine="0"/>
        <w:rPr>
          <w:rStyle w:val="st"/>
          <w:lang w:val="en-GB"/>
        </w:rPr>
      </w:pPr>
      <w:r w:rsidRPr="001A20E3">
        <w:rPr>
          <w:rStyle w:val="st"/>
          <w:lang w:val="en-GB"/>
        </w:rPr>
        <w:t xml:space="preserve">The communicant submits that the Party concerned did provide for public consultation prior to </w:t>
      </w:r>
      <w:r w:rsidR="002E6EAA">
        <w:rPr>
          <w:rStyle w:val="st"/>
          <w:lang w:val="en-GB"/>
        </w:rPr>
        <w:t>the 18 March 2013 licence decision</w:t>
      </w:r>
      <w:r w:rsidRPr="001A20E3">
        <w:rPr>
          <w:rStyle w:val="st"/>
          <w:lang w:val="en-GB"/>
        </w:rPr>
        <w:t xml:space="preserve">, but only on the limited issue of technical nuclear safety </w:t>
      </w:r>
      <w:r w:rsidR="00360479" w:rsidRPr="001A20E3">
        <w:rPr>
          <w:rStyle w:val="st"/>
          <w:lang w:val="en-GB"/>
        </w:rPr>
        <w:t xml:space="preserve">thereby </w:t>
      </w:r>
      <w:r w:rsidRPr="001A20E3">
        <w:rPr>
          <w:rStyle w:val="st"/>
          <w:lang w:val="en-GB"/>
        </w:rPr>
        <w:t>excluding issues relating to the potential impact on the environment.</w:t>
      </w:r>
      <w:r w:rsidRPr="001A20E3">
        <w:rPr>
          <w:rStyle w:val="FootnoteReference"/>
          <w:lang w:val="en-GB"/>
        </w:rPr>
        <w:footnoteReference w:id="49"/>
      </w:r>
      <w:r w:rsidRPr="001A20E3">
        <w:rPr>
          <w:rStyle w:val="st"/>
          <w:lang w:val="en-GB"/>
        </w:rPr>
        <w:t xml:space="preserve"> </w:t>
      </w:r>
    </w:p>
    <w:p w:rsidR="00C34438" w:rsidRPr="00695D7A" w:rsidRDefault="004710F2" w:rsidP="0057564B">
      <w:pPr>
        <w:pStyle w:val="SingleTxtG"/>
        <w:numPr>
          <w:ilvl w:val="0"/>
          <w:numId w:val="3"/>
        </w:numPr>
        <w:tabs>
          <w:tab w:val="clear" w:pos="1711"/>
          <w:tab w:val="left" w:pos="1134"/>
          <w:tab w:val="num" w:pos="1701"/>
        </w:tabs>
        <w:ind w:left="1134" w:right="0" w:firstLine="0"/>
        <w:rPr>
          <w:rStyle w:val="st"/>
          <w:lang w:val="en-GB"/>
        </w:rPr>
      </w:pPr>
      <w:bookmarkStart w:id="15" w:name="_Ref499405793"/>
      <w:bookmarkStart w:id="16" w:name="_Ref514183888"/>
      <w:r w:rsidRPr="001A20E3">
        <w:rPr>
          <w:rStyle w:val="st"/>
          <w:lang w:val="en-GB"/>
        </w:rPr>
        <w:t>The communicant</w:t>
      </w:r>
      <w:r w:rsidR="000B1850" w:rsidRPr="001A20E3">
        <w:rPr>
          <w:rStyle w:val="st"/>
          <w:lang w:val="en-GB"/>
        </w:rPr>
        <w:t xml:space="preserve"> </w:t>
      </w:r>
      <w:r w:rsidR="00945824" w:rsidRPr="001A20E3">
        <w:rPr>
          <w:rStyle w:val="st"/>
          <w:lang w:val="en-GB"/>
        </w:rPr>
        <w:t xml:space="preserve">submits </w:t>
      </w:r>
      <w:r w:rsidR="003B7A60" w:rsidRPr="001A20E3">
        <w:rPr>
          <w:rStyle w:val="st"/>
          <w:lang w:val="en-GB"/>
        </w:rPr>
        <w:t>that</w:t>
      </w:r>
      <w:r w:rsidR="00945824" w:rsidRPr="001A20E3">
        <w:rPr>
          <w:rStyle w:val="st"/>
          <w:lang w:val="en-GB"/>
        </w:rPr>
        <w:t>, while there</w:t>
      </w:r>
      <w:r w:rsidR="00945824" w:rsidRPr="00695D7A">
        <w:rPr>
          <w:rStyle w:val="st"/>
          <w:lang w:val="en-GB"/>
        </w:rPr>
        <w:t xml:space="preserve"> is</w:t>
      </w:r>
      <w:r w:rsidR="003B7A60" w:rsidRPr="00695D7A">
        <w:rPr>
          <w:rStyle w:val="st"/>
          <w:lang w:val="en-GB"/>
        </w:rPr>
        <w:t xml:space="preserve"> no requirement </w:t>
      </w:r>
      <w:r w:rsidR="00945824" w:rsidRPr="00695D7A">
        <w:rPr>
          <w:rStyle w:val="st"/>
          <w:lang w:val="en-GB"/>
        </w:rPr>
        <w:t xml:space="preserve">under the Convention </w:t>
      </w:r>
      <w:r w:rsidR="003B7A60" w:rsidRPr="00695D7A">
        <w:rPr>
          <w:rStyle w:val="st"/>
          <w:lang w:val="en-GB"/>
        </w:rPr>
        <w:t xml:space="preserve">to carry out an </w:t>
      </w:r>
      <w:r w:rsidR="00945824" w:rsidRPr="00695D7A">
        <w:rPr>
          <w:rStyle w:val="st"/>
          <w:lang w:val="en-GB"/>
        </w:rPr>
        <w:t xml:space="preserve">environmental impact assessment </w:t>
      </w:r>
      <w:r w:rsidR="003B7A60" w:rsidRPr="00695D7A">
        <w:rPr>
          <w:rStyle w:val="st"/>
          <w:lang w:val="en-GB"/>
        </w:rPr>
        <w:t>procedure</w:t>
      </w:r>
      <w:r w:rsidR="00945824" w:rsidRPr="00695D7A">
        <w:rPr>
          <w:rStyle w:val="st"/>
          <w:lang w:val="en-GB"/>
        </w:rPr>
        <w:t>,</w:t>
      </w:r>
      <w:r w:rsidR="003B7A60" w:rsidRPr="00695D7A">
        <w:rPr>
          <w:rStyle w:val="st"/>
          <w:lang w:val="en-GB"/>
        </w:rPr>
        <w:t xml:space="preserve"> </w:t>
      </w:r>
      <w:r w:rsidR="000B1850" w:rsidRPr="001A20E3">
        <w:rPr>
          <w:rStyle w:val="st"/>
          <w:lang w:val="en-GB"/>
        </w:rPr>
        <w:t>there was no sufficient description of the significant effects of the proposed activity on the environment nor a description of the measures envisaged to prevent and/or reduce the effects, including emissions</w:t>
      </w:r>
      <w:r w:rsidR="00945824" w:rsidRPr="001A20E3">
        <w:rPr>
          <w:rStyle w:val="st"/>
          <w:lang w:val="en-GB"/>
        </w:rPr>
        <w:t xml:space="preserve"> as required by article 6, paragraph 6, of the Convention</w:t>
      </w:r>
      <w:r w:rsidR="000B1850" w:rsidRPr="001A20E3">
        <w:rPr>
          <w:rStyle w:val="st"/>
          <w:lang w:val="en-GB"/>
        </w:rPr>
        <w:t>.</w:t>
      </w:r>
      <w:r w:rsidR="00945824" w:rsidRPr="001A20E3">
        <w:rPr>
          <w:rStyle w:val="FootnoteReference"/>
          <w:lang w:val="en-GB"/>
        </w:rPr>
        <w:footnoteReference w:id="50"/>
      </w:r>
      <w:r w:rsidRPr="001A20E3">
        <w:rPr>
          <w:rStyle w:val="st"/>
          <w:lang w:val="en-GB"/>
        </w:rPr>
        <w:t xml:space="preserve"> </w:t>
      </w:r>
      <w:r w:rsidR="00CD493B" w:rsidRPr="001A20E3">
        <w:rPr>
          <w:rStyle w:val="st"/>
          <w:lang w:val="en-GB"/>
        </w:rPr>
        <w:t>The communicant submits that</w:t>
      </w:r>
      <w:r w:rsidR="00CD493B" w:rsidRPr="00695D7A">
        <w:rPr>
          <w:lang w:val="en-GB"/>
        </w:rPr>
        <w:t xml:space="preserve"> the information included in the Safety Report did not</w:t>
      </w:r>
      <w:r w:rsidR="000A2543" w:rsidRPr="00695D7A">
        <w:rPr>
          <w:lang w:val="en-GB"/>
        </w:rPr>
        <w:t>, for example,</w:t>
      </w:r>
      <w:r w:rsidR="00CD493B" w:rsidRPr="00695D7A">
        <w:rPr>
          <w:lang w:val="en-GB"/>
        </w:rPr>
        <w:t xml:space="preserve"> contain an outline of main alternatives studied by the applicant (as required by article 6, paragraph 6 (e)) or a description of the environmental impacts (as required by article 6, paragraph 6 (a) and (b)).</w:t>
      </w:r>
      <w:r w:rsidR="00CD493B" w:rsidRPr="00695D7A">
        <w:rPr>
          <w:rStyle w:val="FootnoteReference"/>
          <w:lang w:val="en-GB"/>
        </w:rPr>
        <w:footnoteReference w:id="51"/>
      </w:r>
      <w:r w:rsidR="00881E56" w:rsidRPr="001A20E3">
        <w:rPr>
          <w:lang w:val="en-GB"/>
        </w:rPr>
        <w:t xml:space="preserve"> </w:t>
      </w:r>
      <w:r w:rsidR="00C34438" w:rsidRPr="001A20E3">
        <w:rPr>
          <w:lang w:val="en-GB"/>
        </w:rPr>
        <w:t>The communicant also submits that there was no description of the measures envisaged to prevent and/or reduce the effects, including emissions (as required by article 6, paragraph 6 (c)</w:t>
      </w:r>
      <w:r w:rsidR="003E0FF1">
        <w:rPr>
          <w:lang w:val="en-GB"/>
        </w:rPr>
        <w:t>)</w:t>
      </w:r>
      <w:r w:rsidR="00C34438" w:rsidRPr="001A20E3">
        <w:rPr>
          <w:lang w:val="en-GB"/>
        </w:rPr>
        <w:t>.</w:t>
      </w:r>
      <w:r w:rsidR="00C34438" w:rsidRPr="001A20E3">
        <w:rPr>
          <w:rStyle w:val="FootnoteReference"/>
          <w:lang w:val="en-GB"/>
        </w:rPr>
        <w:footnoteReference w:id="52"/>
      </w:r>
      <w:r w:rsidR="00C34438" w:rsidRPr="001A20E3">
        <w:rPr>
          <w:lang w:val="en-GB"/>
        </w:rPr>
        <w:t xml:space="preserve"> </w:t>
      </w:r>
      <w:r w:rsidR="00881E56" w:rsidRPr="001A20E3">
        <w:rPr>
          <w:lang w:val="en-GB"/>
        </w:rPr>
        <w:t xml:space="preserve">It </w:t>
      </w:r>
      <w:r w:rsidR="000A2543" w:rsidRPr="00695D7A">
        <w:rPr>
          <w:lang w:val="en-GB"/>
        </w:rPr>
        <w:t xml:space="preserve">contends that in </w:t>
      </w:r>
      <w:r w:rsidR="00E30A7F" w:rsidRPr="00695D7A">
        <w:rPr>
          <w:lang w:val="en-GB"/>
        </w:rPr>
        <w:t>his</w:t>
      </w:r>
      <w:r w:rsidR="00881E56" w:rsidRPr="001A20E3">
        <w:rPr>
          <w:lang w:val="en-GB"/>
        </w:rPr>
        <w:t xml:space="preserve"> letter of 10 January 2016</w:t>
      </w:r>
      <w:r w:rsidR="000A2543" w:rsidRPr="00695D7A">
        <w:rPr>
          <w:lang w:val="en-GB"/>
        </w:rPr>
        <w:t xml:space="preserve"> to Parliament,</w:t>
      </w:r>
      <w:r w:rsidR="00881E56" w:rsidRPr="001A20E3">
        <w:rPr>
          <w:lang w:val="en-GB"/>
        </w:rPr>
        <w:t xml:space="preserve"> </w:t>
      </w:r>
      <w:r w:rsidR="000A2543" w:rsidRPr="00695D7A">
        <w:rPr>
          <w:lang w:val="en-GB"/>
        </w:rPr>
        <w:t xml:space="preserve">the </w:t>
      </w:r>
      <w:r w:rsidR="00E30A7F" w:rsidRPr="001A20E3">
        <w:t>State Secretary for Housing, Spatial Planning and the Environment</w:t>
      </w:r>
      <w:r w:rsidR="00E30A7F" w:rsidRPr="00695D7A">
        <w:rPr>
          <w:lang w:val="en-GB"/>
        </w:rPr>
        <w:t xml:space="preserve"> </w:t>
      </w:r>
      <w:r w:rsidR="002D1A7D" w:rsidRPr="001A20E3">
        <w:rPr>
          <w:lang w:val="en-GB"/>
        </w:rPr>
        <w:t xml:space="preserve">claimed that </w:t>
      </w:r>
      <w:r w:rsidR="00B4439F">
        <w:rPr>
          <w:lang w:val="en-GB"/>
        </w:rPr>
        <w:t>he</w:t>
      </w:r>
      <w:r w:rsidR="002D1A7D" w:rsidRPr="001A20E3">
        <w:rPr>
          <w:lang w:val="en-GB"/>
        </w:rPr>
        <w:t xml:space="preserve"> had </w:t>
      </w:r>
      <w:r w:rsidR="000A2543" w:rsidRPr="00695D7A">
        <w:rPr>
          <w:rStyle w:val="st"/>
          <w:lang w:val="en-GB"/>
        </w:rPr>
        <w:t>assessed “impacts on the electricity supply, environmental impacts including radiation impacts and some additional effects like safety and risk, non-proliferation, spa</w:t>
      </w:r>
      <w:r w:rsidR="002D1A7D" w:rsidRPr="00695D7A">
        <w:rPr>
          <w:rStyle w:val="st"/>
          <w:lang w:val="en-GB"/>
        </w:rPr>
        <w:t>t</w:t>
      </w:r>
      <w:r w:rsidR="000A2543" w:rsidRPr="00695D7A">
        <w:rPr>
          <w:rStyle w:val="st"/>
          <w:lang w:val="en-GB"/>
        </w:rPr>
        <w:t>ial</w:t>
      </w:r>
      <w:r w:rsidR="000A2543" w:rsidRPr="00695D7A">
        <w:t xml:space="preserve"> planning and employment”.</w:t>
      </w:r>
      <w:r w:rsidR="00E30A7F" w:rsidRPr="00695D7A">
        <w:rPr>
          <w:rStyle w:val="FootnoteReference"/>
          <w:lang w:val="en-GB"/>
        </w:rPr>
        <w:footnoteReference w:id="53"/>
      </w:r>
      <w:r w:rsidR="000A2543" w:rsidRPr="00695D7A">
        <w:rPr>
          <w:lang w:val="en-GB"/>
        </w:rPr>
        <w:t xml:space="preserve"> The communicant submits that this demonstrates </w:t>
      </w:r>
      <w:r w:rsidR="00881E56" w:rsidRPr="00695D7A">
        <w:rPr>
          <w:lang w:val="en-GB"/>
        </w:rPr>
        <w:t xml:space="preserve">that the government was holding further information on </w:t>
      </w:r>
      <w:r w:rsidR="002D1A7D" w:rsidRPr="00695D7A">
        <w:rPr>
          <w:lang w:val="en-GB"/>
        </w:rPr>
        <w:t xml:space="preserve">the potential </w:t>
      </w:r>
      <w:r w:rsidR="00881E56" w:rsidRPr="00695D7A">
        <w:rPr>
          <w:lang w:val="en-GB"/>
        </w:rPr>
        <w:t xml:space="preserve">environmental </w:t>
      </w:r>
      <w:r w:rsidR="002D1A7D" w:rsidRPr="00695D7A">
        <w:rPr>
          <w:lang w:val="en-GB"/>
        </w:rPr>
        <w:t>impacts</w:t>
      </w:r>
      <w:r w:rsidR="00881E56" w:rsidRPr="00695D7A">
        <w:rPr>
          <w:lang w:val="en-GB"/>
        </w:rPr>
        <w:t xml:space="preserve"> but that this</w:t>
      </w:r>
      <w:r w:rsidR="00B863BD" w:rsidRPr="00695D7A">
        <w:rPr>
          <w:lang w:val="en-GB"/>
        </w:rPr>
        <w:t xml:space="preserve"> information</w:t>
      </w:r>
      <w:r w:rsidR="00881E56" w:rsidRPr="00695D7A">
        <w:rPr>
          <w:lang w:val="en-GB"/>
        </w:rPr>
        <w:t xml:space="preserve"> was not systematically shared with the public nor systematically included in the public participation.</w:t>
      </w:r>
      <w:r w:rsidR="00881E56" w:rsidRPr="00695D7A">
        <w:rPr>
          <w:rStyle w:val="FootnoteReference"/>
          <w:lang w:val="en-GB"/>
        </w:rPr>
        <w:footnoteReference w:id="54"/>
      </w:r>
      <w:bookmarkEnd w:id="15"/>
      <w:r w:rsidR="00C34438" w:rsidRPr="00695D7A">
        <w:rPr>
          <w:lang w:val="en-GB"/>
        </w:rPr>
        <w:t xml:space="preserve"> </w:t>
      </w:r>
      <w:r w:rsidR="00C34438" w:rsidRPr="00695D7A">
        <w:rPr>
          <w:rStyle w:val="st"/>
          <w:lang w:val="en-GB"/>
        </w:rPr>
        <w:t>T</w:t>
      </w:r>
      <w:r w:rsidR="00B863BD" w:rsidRPr="00695D7A">
        <w:rPr>
          <w:rStyle w:val="st"/>
          <w:lang w:val="en-GB"/>
        </w:rPr>
        <w:t xml:space="preserve">he communicant </w:t>
      </w:r>
      <w:r w:rsidR="000B1850" w:rsidRPr="00695D7A">
        <w:rPr>
          <w:rStyle w:val="st"/>
          <w:lang w:val="en-GB"/>
        </w:rPr>
        <w:t>claims that the public expressed viewpoints concerning the environment, but was not able to do this on the basis of an assessment of potential impacts on the environment.</w:t>
      </w:r>
      <w:r w:rsidR="00C34438" w:rsidRPr="00695D7A">
        <w:rPr>
          <w:rStyle w:val="FootnoteReference"/>
          <w:lang w:val="en-GB"/>
        </w:rPr>
        <w:t xml:space="preserve"> </w:t>
      </w:r>
      <w:r w:rsidR="00C34438" w:rsidRPr="00695D7A">
        <w:rPr>
          <w:rStyle w:val="FootnoteReference"/>
          <w:lang w:val="en-GB"/>
        </w:rPr>
        <w:footnoteReference w:id="55"/>
      </w:r>
      <w:bookmarkEnd w:id="16"/>
      <w:r w:rsidR="000B1850" w:rsidRPr="00695D7A">
        <w:rPr>
          <w:rStyle w:val="st"/>
          <w:lang w:val="en-GB"/>
        </w:rPr>
        <w:t xml:space="preserve"> </w:t>
      </w:r>
    </w:p>
    <w:p w:rsidR="000B1850" w:rsidRPr="00695D7A" w:rsidRDefault="00C34438" w:rsidP="0057564B">
      <w:pPr>
        <w:pStyle w:val="SingleTxtG"/>
        <w:numPr>
          <w:ilvl w:val="0"/>
          <w:numId w:val="3"/>
        </w:numPr>
        <w:tabs>
          <w:tab w:val="clear" w:pos="1711"/>
          <w:tab w:val="left" w:pos="1134"/>
          <w:tab w:val="num" w:pos="1701"/>
        </w:tabs>
        <w:ind w:left="1134" w:right="0" w:firstLine="0"/>
        <w:rPr>
          <w:rStyle w:val="st"/>
          <w:lang w:val="en-GB"/>
        </w:rPr>
      </w:pPr>
      <w:r w:rsidRPr="00695D7A">
        <w:rPr>
          <w:rStyle w:val="st"/>
          <w:lang w:val="en-GB"/>
        </w:rPr>
        <w:t xml:space="preserve">The communicant further submits </w:t>
      </w:r>
      <w:r w:rsidR="000B1850" w:rsidRPr="00695D7A">
        <w:rPr>
          <w:rStyle w:val="st"/>
          <w:lang w:val="en-GB"/>
        </w:rPr>
        <w:t xml:space="preserve">that </w:t>
      </w:r>
      <w:r w:rsidR="004710F2" w:rsidRPr="00695D7A">
        <w:rPr>
          <w:rStyle w:val="st"/>
          <w:lang w:val="en-GB"/>
        </w:rPr>
        <w:t xml:space="preserve">the </w:t>
      </w:r>
      <w:r w:rsidR="000B1850" w:rsidRPr="00695D7A">
        <w:rPr>
          <w:rStyle w:val="st"/>
          <w:lang w:val="en-GB"/>
        </w:rPr>
        <w:t xml:space="preserve">procedure was not open to include viewpoints on the environment because </w:t>
      </w:r>
      <w:r w:rsidR="009D4CF5" w:rsidRPr="00695D7A">
        <w:rPr>
          <w:rStyle w:val="st"/>
          <w:lang w:val="en-GB"/>
        </w:rPr>
        <w:t xml:space="preserve">the Party concerned </w:t>
      </w:r>
      <w:r w:rsidR="000B1850" w:rsidRPr="00695D7A">
        <w:rPr>
          <w:rStyle w:val="st"/>
          <w:lang w:val="en-GB"/>
        </w:rPr>
        <w:t xml:space="preserve">had already </w:t>
      </w:r>
      <w:r w:rsidR="009D4CF5" w:rsidRPr="00695D7A">
        <w:rPr>
          <w:rStyle w:val="st"/>
          <w:lang w:val="en-GB"/>
        </w:rPr>
        <w:t xml:space="preserve">decided </w:t>
      </w:r>
      <w:r w:rsidR="000B1850" w:rsidRPr="00695D7A">
        <w:rPr>
          <w:rStyle w:val="st"/>
          <w:lang w:val="en-GB"/>
        </w:rPr>
        <w:t xml:space="preserve">that the extension of the design lifetime would not have any environmental impacts. </w:t>
      </w:r>
      <w:r w:rsidR="00DC03DC" w:rsidRPr="00695D7A">
        <w:rPr>
          <w:rStyle w:val="st"/>
          <w:lang w:val="en-GB"/>
        </w:rPr>
        <w:t xml:space="preserve">It states that </w:t>
      </w:r>
      <w:r w:rsidR="000B1850" w:rsidRPr="00695D7A">
        <w:rPr>
          <w:rStyle w:val="st"/>
          <w:lang w:val="en-GB"/>
        </w:rPr>
        <w:t>no zero-option</w:t>
      </w:r>
      <w:r w:rsidRPr="00695D7A">
        <w:rPr>
          <w:rStyle w:val="st"/>
          <w:lang w:val="en-GB"/>
        </w:rPr>
        <w:t>s</w:t>
      </w:r>
      <w:r w:rsidR="000B1850" w:rsidRPr="00695D7A">
        <w:rPr>
          <w:rStyle w:val="st"/>
          <w:lang w:val="en-GB"/>
        </w:rPr>
        <w:t xml:space="preserve"> </w:t>
      </w:r>
      <w:r w:rsidRPr="00695D7A">
        <w:rPr>
          <w:rStyle w:val="st"/>
          <w:lang w:val="en-GB"/>
        </w:rPr>
        <w:t xml:space="preserve">were </w:t>
      </w:r>
      <w:r w:rsidR="000B1850" w:rsidRPr="00695D7A">
        <w:rPr>
          <w:rStyle w:val="st"/>
          <w:lang w:val="en-GB"/>
        </w:rPr>
        <w:t>analysed and there was no systematic assessment of potential environmental impacts.</w:t>
      </w:r>
      <w:r w:rsidR="000B1850" w:rsidRPr="00695D7A">
        <w:rPr>
          <w:rStyle w:val="FootnoteReference"/>
          <w:lang w:val="en-GB"/>
        </w:rPr>
        <w:footnoteReference w:id="56"/>
      </w:r>
    </w:p>
    <w:p w:rsidR="009D4CF5" w:rsidRPr="001A20E3" w:rsidRDefault="009D4CF5" w:rsidP="00F6314C">
      <w:pPr>
        <w:pStyle w:val="SingleTxtG"/>
        <w:numPr>
          <w:ilvl w:val="0"/>
          <w:numId w:val="3"/>
        </w:numPr>
        <w:tabs>
          <w:tab w:val="clear" w:pos="1711"/>
          <w:tab w:val="left" w:pos="1134"/>
          <w:tab w:val="num" w:pos="1701"/>
        </w:tabs>
        <w:ind w:left="1134" w:right="0" w:firstLine="0"/>
        <w:rPr>
          <w:rStyle w:val="st"/>
          <w:lang w:val="en-GB"/>
        </w:rPr>
      </w:pPr>
      <w:r w:rsidRPr="00695D7A">
        <w:rPr>
          <w:rStyle w:val="st"/>
          <w:lang w:val="en-GB"/>
        </w:rPr>
        <w:t>Finally, the communicant submits that the</w:t>
      </w:r>
      <w:r w:rsidRPr="001A20E3">
        <w:rPr>
          <w:rStyle w:val="st"/>
          <w:lang w:val="en-GB"/>
        </w:rPr>
        <w:t xml:space="preserve"> Party concerned itself concedes (see para. </w:t>
      </w:r>
      <w:r w:rsidRPr="001A20E3">
        <w:rPr>
          <w:rStyle w:val="st"/>
          <w:lang w:val="en-GB"/>
        </w:rPr>
        <w:fldChar w:fldCharType="begin"/>
      </w:r>
      <w:r w:rsidRPr="00695D7A">
        <w:rPr>
          <w:rStyle w:val="st"/>
          <w:lang w:val="en-GB"/>
        </w:rPr>
        <w:instrText xml:space="preserve"> REF _Ref431993681 \r \h  \* MERGEFORMAT </w:instrText>
      </w:r>
      <w:r w:rsidRPr="001A20E3">
        <w:rPr>
          <w:rStyle w:val="st"/>
          <w:lang w:val="en-GB"/>
        </w:rPr>
      </w:r>
      <w:r w:rsidRPr="001A20E3">
        <w:rPr>
          <w:rStyle w:val="st"/>
          <w:lang w:val="en-GB"/>
        </w:rPr>
        <w:fldChar w:fldCharType="separate"/>
      </w:r>
      <w:r w:rsidR="0056000C">
        <w:rPr>
          <w:rStyle w:val="st"/>
          <w:cs/>
          <w:lang w:val="en-GB"/>
        </w:rPr>
        <w:t>‎</w:t>
      </w:r>
      <w:r w:rsidR="0056000C">
        <w:rPr>
          <w:rStyle w:val="st"/>
          <w:lang w:val="en-GB"/>
        </w:rPr>
        <w:t>51</w:t>
      </w:r>
      <w:r w:rsidRPr="001A20E3">
        <w:rPr>
          <w:rStyle w:val="st"/>
          <w:lang w:val="en-GB"/>
        </w:rPr>
        <w:fldChar w:fldCharType="end"/>
      </w:r>
      <w:r w:rsidR="004710F2" w:rsidRPr="001A20E3">
        <w:rPr>
          <w:rStyle w:val="st"/>
          <w:lang w:val="en-GB"/>
        </w:rPr>
        <w:t xml:space="preserve"> below</w:t>
      </w:r>
      <w:r w:rsidRPr="001A20E3">
        <w:rPr>
          <w:rStyle w:val="st"/>
          <w:lang w:val="en-GB"/>
        </w:rPr>
        <w:t xml:space="preserve">) that the decision and the </w:t>
      </w:r>
      <w:r w:rsidR="0046030A">
        <w:rPr>
          <w:rStyle w:val="st"/>
          <w:lang w:val="en-GB"/>
        </w:rPr>
        <w:t>licence</w:t>
      </w:r>
      <w:r w:rsidRPr="001A20E3">
        <w:rPr>
          <w:rStyle w:val="st"/>
          <w:lang w:val="en-GB"/>
        </w:rPr>
        <w:t xml:space="preserve"> conditions were not adapted on the basis of any of the environmental concerns expressed by the public in the public participation procedure</w:t>
      </w:r>
      <w:r w:rsidR="006F7EBA" w:rsidRPr="001A20E3">
        <w:rPr>
          <w:rStyle w:val="st"/>
          <w:lang w:val="en-GB"/>
        </w:rPr>
        <w:t xml:space="preserve"> </w:t>
      </w:r>
      <w:r w:rsidR="006F7EBA" w:rsidRPr="001A20E3">
        <w:rPr>
          <w:rStyle w:val="st"/>
          <w:lang w:val="en-GB"/>
        </w:rPr>
        <w:lastRenderedPageBreak/>
        <w:t>and that the Party concerned failed to take viewpoints concerning environmental matters into account in the final decision.</w:t>
      </w:r>
      <w:r w:rsidR="006F7EBA" w:rsidRPr="001A20E3">
        <w:rPr>
          <w:rStyle w:val="FootnoteReference"/>
          <w:lang w:val="en-GB"/>
        </w:rPr>
        <w:footnoteReference w:id="57"/>
      </w:r>
    </w:p>
    <w:p w:rsidR="00B119D5" w:rsidRPr="001A20E3" w:rsidRDefault="007C0AD3" w:rsidP="00A734E7">
      <w:pPr>
        <w:pStyle w:val="SingleTxtG"/>
        <w:numPr>
          <w:ilvl w:val="0"/>
          <w:numId w:val="3"/>
        </w:numPr>
        <w:tabs>
          <w:tab w:val="clear" w:pos="1711"/>
          <w:tab w:val="left" w:pos="1134"/>
          <w:tab w:val="num" w:pos="1701"/>
        </w:tabs>
        <w:ind w:left="1134" w:right="0" w:firstLine="0"/>
        <w:rPr>
          <w:lang w:val="en-GB"/>
        </w:rPr>
      </w:pPr>
      <w:r w:rsidRPr="001A20E3">
        <w:rPr>
          <w:rStyle w:val="st"/>
          <w:lang w:val="en-GB"/>
        </w:rPr>
        <w:t xml:space="preserve">The Party concerned </w:t>
      </w:r>
      <w:r w:rsidR="00B119D5" w:rsidRPr="001A20E3">
        <w:rPr>
          <w:rStyle w:val="st"/>
          <w:lang w:val="en-GB"/>
        </w:rPr>
        <w:t xml:space="preserve">submits </w:t>
      </w:r>
      <w:r w:rsidRPr="001A20E3">
        <w:rPr>
          <w:rStyle w:val="st"/>
          <w:lang w:val="en-GB"/>
        </w:rPr>
        <w:t>that the public participation requirements of article 6 of the Convention with respect to nuclear reactors are adequately implemented in Division 3.4</w:t>
      </w:r>
      <w:r w:rsidR="00FA1A75" w:rsidRPr="001A20E3">
        <w:rPr>
          <w:rStyle w:val="st"/>
          <w:lang w:val="en-GB"/>
        </w:rPr>
        <w:t xml:space="preserve"> of the General Administrative Law Act </w:t>
      </w:r>
      <w:r w:rsidRPr="001A20E3">
        <w:rPr>
          <w:rStyle w:val="st"/>
          <w:lang w:val="en-GB"/>
        </w:rPr>
        <w:t xml:space="preserve">in conjunction with Division 13.2 of the Environmental Management </w:t>
      </w:r>
      <w:r w:rsidR="000013C1" w:rsidRPr="001A20E3">
        <w:rPr>
          <w:rStyle w:val="st"/>
          <w:lang w:val="en-GB"/>
        </w:rPr>
        <w:t xml:space="preserve">Act and Section 17 of the </w:t>
      </w:r>
      <w:r w:rsidR="007E09C7" w:rsidRPr="001A20E3">
        <w:rPr>
          <w:rStyle w:val="st"/>
          <w:lang w:val="en-GB"/>
        </w:rPr>
        <w:t>Nuclear Energy Act</w:t>
      </w:r>
      <w:r w:rsidR="000013C1" w:rsidRPr="001A20E3">
        <w:rPr>
          <w:rStyle w:val="st"/>
          <w:lang w:val="en-GB"/>
        </w:rPr>
        <w:t>.</w:t>
      </w:r>
      <w:r w:rsidR="00467B52" w:rsidRPr="001A20E3">
        <w:rPr>
          <w:rStyle w:val="FootnoteReference"/>
          <w:lang w:val="en-GB"/>
        </w:rPr>
        <w:footnoteReference w:id="58"/>
      </w:r>
      <w:r w:rsidR="00093BB7" w:rsidRPr="00695D7A">
        <w:rPr>
          <w:rStyle w:val="FootnoteReference"/>
          <w:lang w:val="en-GB"/>
        </w:rPr>
        <w:t xml:space="preserve"> </w:t>
      </w:r>
    </w:p>
    <w:p w:rsidR="007C0AD3" w:rsidRPr="001A20E3" w:rsidRDefault="000B78F5" w:rsidP="005A372A">
      <w:pPr>
        <w:pStyle w:val="SingleTxtG"/>
        <w:numPr>
          <w:ilvl w:val="0"/>
          <w:numId w:val="3"/>
        </w:numPr>
        <w:tabs>
          <w:tab w:val="clear" w:pos="1711"/>
          <w:tab w:val="left" w:pos="1134"/>
          <w:tab w:val="num" w:pos="1701"/>
        </w:tabs>
        <w:ind w:left="1134" w:right="0" w:firstLine="0"/>
        <w:rPr>
          <w:rStyle w:val="st"/>
          <w:lang w:val="en-GB"/>
        </w:rPr>
      </w:pPr>
      <w:r w:rsidRPr="001A20E3">
        <w:rPr>
          <w:rStyle w:val="st"/>
          <w:lang w:val="en-GB"/>
        </w:rPr>
        <w:t xml:space="preserve">The Party concerned states </w:t>
      </w:r>
      <w:r w:rsidR="00F03219" w:rsidRPr="001A20E3">
        <w:rPr>
          <w:rStyle w:val="st"/>
          <w:lang w:val="en-GB"/>
        </w:rPr>
        <w:t xml:space="preserve">that the public was </w:t>
      </w:r>
      <w:r w:rsidR="00E246CE" w:rsidRPr="001A20E3">
        <w:rPr>
          <w:rStyle w:val="st"/>
          <w:lang w:val="en-GB"/>
        </w:rPr>
        <w:t xml:space="preserve">notified of the draft </w:t>
      </w:r>
      <w:r w:rsidR="0046030A">
        <w:rPr>
          <w:rStyle w:val="st"/>
          <w:lang w:val="en-GB"/>
        </w:rPr>
        <w:t>licence</w:t>
      </w:r>
      <w:r w:rsidR="00B119D5" w:rsidRPr="001A20E3">
        <w:rPr>
          <w:rStyle w:val="st"/>
          <w:lang w:val="en-GB"/>
        </w:rPr>
        <w:t xml:space="preserve"> through notices</w:t>
      </w:r>
      <w:r w:rsidR="00AC6037" w:rsidRPr="001A20E3">
        <w:rPr>
          <w:rStyle w:val="st"/>
          <w:lang w:val="en-GB"/>
        </w:rPr>
        <w:t xml:space="preserve"> in several newspapers</w:t>
      </w:r>
      <w:r w:rsidR="00B119D5" w:rsidRPr="001A20E3">
        <w:rPr>
          <w:rStyle w:val="st"/>
          <w:lang w:val="en-GB"/>
        </w:rPr>
        <w:t xml:space="preserve"> and the internet </w:t>
      </w:r>
      <w:r w:rsidR="00E246CE" w:rsidRPr="001A20E3">
        <w:rPr>
          <w:rStyle w:val="st"/>
          <w:lang w:val="en-GB"/>
        </w:rPr>
        <w:t>and</w:t>
      </w:r>
      <w:r w:rsidR="00F03219" w:rsidRPr="001A20E3">
        <w:rPr>
          <w:rStyle w:val="st"/>
          <w:lang w:val="en-GB"/>
        </w:rPr>
        <w:t xml:space="preserve"> </w:t>
      </w:r>
      <w:r w:rsidR="00B119D5" w:rsidRPr="001A20E3">
        <w:rPr>
          <w:rStyle w:val="st"/>
          <w:lang w:val="en-GB"/>
        </w:rPr>
        <w:t xml:space="preserve">that during a six-week period the public </w:t>
      </w:r>
      <w:r w:rsidR="00F03219" w:rsidRPr="001A20E3">
        <w:rPr>
          <w:rStyle w:val="st"/>
          <w:lang w:val="en-GB"/>
        </w:rPr>
        <w:t>was allowed to provide comments and views</w:t>
      </w:r>
      <w:r w:rsidR="00E246CE" w:rsidRPr="001A20E3">
        <w:rPr>
          <w:rStyle w:val="st"/>
          <w:lang w:val="en-GB"/>
        </w:rPr>
        <w:t>.</w:t>
      </w:r>
      <w:r w:rsidR="0012554A" w:rsidRPr="001A20E3">
        <w:rPr>
          <w:rStyle w:val="FootnoteReference"/>
          <w:lang w:val="en-GB"/>
        </w:rPr>
        <w:footnoteReference w:id="59"/>
      </w:r>
      <w:r w:rsidR="00E246CE" w:rsidRPr="001A20E3">
        <w:rPr>
          <w:rStyle w:val="st"/>
          <w:lang w:val="en-GB"/>
        </w:rPr>
        <w:t xml:space="preserve"> It claims</w:t>
      </w:r>
      <w:r w:rsidR="00F03219" w:rsidRPr="001A20E3">
        <w:rPr>
          <w:rStyle w:val="st"/>
          <w:lang w:val="en-GB"/>
        </w:rPr>
        <w:t xml:space="preserve"> </w:t>
      </w:r>
      <w:r w:rsidR="00E246CE" w:rsidRPr="001A20E3">
        <w:rPr>
          <w:rStyle w:val="st"/>
          <w:lang w:val="en-GB"/>
        </w:rPr>
        <w:t>that</w:t>
      </w:r>
      <w:r w:rsidR="00F03219" w:rsidRPr="001A20E3">
        <w:rPr>
          <w:rStyle w:val="st"/>
          <w:lang w:val="en-GB"/>
        </w:rPr>
        <w:t xml:space="preserve"> the decision was made public in due time</w:t>
      </w:r>
      <w:r w:rsidR="002E6EAA">
        <w:rPr>
          <w:rStyle w:val="st"/>
          <w:lang w:val="en-GB"/>
        </w:rPr>
        <w:t xml:space="preserve"> and that,</w:t>
      </w:r>
      <w:r w:rsidR="00F03219" w:rsidRPr="001A20E3">
        <w:rPr>
          <w:rStyle w:val="st"/>
          <w:lang w:val="en-GB"/>
        </w:rPr>
        <w:t xml:space="preserve"> </w:t>
      </w:r>
      <w:r w:rsidR="002E6EAA">
        <w:rPr>
          <w:rStyle w:val="st"/>
          <w:lang w:val="en-GB"/>
        </w:rPr>
        <w:t xml:space="preserve">in addition, individual </w:t>
      </w:r>
      <w:r w:rsidR="00F03219" w:rsidRPr="001A20E3">
        <w:rPr>
          <w:rStyle w:val="st"/>
          <w:lang w:val="en-GB"/>
        </w:rPr>
        <w:t>letter</w:t>
      </w:r>
      <w:r w:rsidR="00DC03DC" w:rsidRPr="001A20E3">
        <w:rPr>
          <w:rStyle w:val="st"/>
          <w:lang w:val="en-GB"/>
        </w:rPr>
        <w:t>s</w:t>
      </w:r>
      <w:r w:rsidR="00F03219" w:rsidRPr="001A20E3">
        <w:rPr>
          <w:rStyle w:val="st"/>
          <w:lang w:val="en-GB"/>
        </w:rPr>
        <w:t xml:space="preserve"> </w:t>
      </w:r>
      <w:r w:rsidR="002E6EAA">
        <w:rPr>
          <w:rStyle w:val="st"/>
          <w:lang w:val="en-GB"/>
        </w:rPr>
        <w:t xml:space="preserve">were </w:t>
      </w:r>
      <w:r w:rsidR="004710F2" w:rsidRPr="001A20E3">
        <w:rPr>
          <w:rStyle w:val="st"/>
          <w:lang w:val="en-GB"/>
        </w:rPr>
        <w:t xml:space="preserve">sent </w:t>
      </w:r>
      <w:r w:rsidR="00F03219" w:rsidRPr="001A20E3">
        <w:rPr>
          <w:rStyle w:val="st"/>
          <w:lang w:val="en-GB"/>
        </w:rPr>
        <w:t xml:space="preserve">to </w:t>
      </w:r>
      <w:r w:rsidR="004710F2" w:rsidRPr="001A20E3">
        <w:rPr>
          <w:rStyle w:val="st"/>
          <w:lang w:val="en-GB"/>
        </w:rPr>
        <w:t xml:space="preserve">notify </w:t>
      </w:r>
      <w:r w:rsidR="00F03219" w:rsidRPr="001A20E3">
        <w:rPr>
          <w:rStyle w:val="st"/>
          <w:lang w:val="en-GB"/>
        </w:rPr>
        <w:t xml:space="preserve">those </w:t>
      </w:r>
      <w:r w:rsidR="004710F2" w:rsidRPr="001A20E3">
        <w:rPr>
          <w:rStyle w:val="st"/>
          <w:lang w:val="en-GB"/>
        </w:rPr>
        <w:t xml:space="preserve">persons </w:t>
      </w:r>
      <w:r w:rsidR="00F03219" w:rsidRPr="001A20E3">
        <w:rPr>
          <w:rStyle w:val="st"/>
          <w:lang w:val="en-GB"/>
        </w:rPr>
        <w:t xml:space="preserve">who </w:t>
      </w:r>
      <w:r w:rsidR="00DC03DC" w:rsidRPr="001A20E3">
        <w:rPr>
          <w:rStyle w:val="st"/>
          <w:lang w:val="en-GB"/>
        </w:rPr>
        <w:t xml:space="preserve">had </w:t>
      </w:r>
      <w:r w:rsidR="00F03219" w:rsidRPr="001A20E3">
        <w:rPr>
          <w:rStyle w:val="st"/>
          <w:lang w:val="en-GB"/>
        </w:rPr>
        <w:t>express</w:t>
      </w:r>
      <w:r w:rsidR="00DC03DC" w:rsidRPr="001A20E3">
        <w:rPr>
          <w:rStyle w:val="st"/>
          <w:lang w:val="en-GB"/>
        </w:rPr>
        <w:t>ed</w:t>
      </w:r>
      <w:r w:rsidR="00F03219" w:rsidRPr="001A20E3">
        <w:rPr>
          <w:rStyle w:val="st"/>
          <w:lang w:val="en-GB"/>
        </w:rPr>
        <w:t xml:space="preserve"> their views</w:t>
      </w:r>
      <w:r w:rsidR="00DC03DC" w:rsidRPr="001A20E3">
        <w:rPr>
          <w:rStyle w:val="st"/>
          <w:lang w:val="en-GB"/>
        </w:rPr>
        <w:t xml:space="preserve"> earlier</w:t>
      </w:r>
      <w:r w:rsidR="00F03219" w:rsidRPr="001A20E3">
        <w:rPr>
          <w:rStyle w:val="st"/>
          <w:lang w:val="en-GB"/>
        </w:rPr>
        <w:t>.</w:t>
      </w:r>
      <w:r w:rsidR="0012554A" w:rsidRPr="001A20E3">
        <w:rPr>
          <w:rStyle w:val="FootnoteReference"/>
          <w:lang w:val="en-GB"/>
        </w:rPr>
        <w:footnoteReference w:id="60"/>
      </w:r>
      <w:r w:rsidR="00F03219" w:rsidRPr="001A20E3">
        <w:rPr>
          <w:rStyle w:val="st"/>
          <w:lang w:val="en-GB"/>
        </w:rPr>
        <w:t xml:space="preserve"> </w:t>
      </w:r>
      <w:r w:rsidRPr="001A20E3">
        <w:rPr>
          <w:rStyle w:val="st"/>
          <w:lang w:val="en-GB"/>
        </w:rPr>
        <w:t xml:space="preserve">It submits that, in the light of the above, </w:t>
      </w:r>
      <w:r w:rsidR="00DC03DC" w:rsidRPr="001A20E3">
        <w:rPr>
          <w:rStyle w:val="st"/>
          <w:lang w:val="en-GB"/>
        </w:rPr>
        <w:t>it complied</w:t>
      </w:r>
      <w:r w:rsidR="00F03219" w:rsidRPr="001A20E3">
        <w:rPr>
          <w:rStyle w:val="st"/>
          <w:lang w:val="en-GB"/>
        </w:rPr>
        <w:t xml:space="preserve"> with the article 6, paragraphs 2-</w:t>
      </w:r>
      <w:r w:rsidR="005162E0" w:rsidRPr="001A20E3">
        <w:rPr>
          <w:rStyle w:val="st"/>
          <w:lang w:val="en-GB"/>
        </w:rPr>
        <w:t xml:space="preserve">5, </w:t>
      </w:r>
      <w:r w:rsidR="00677717" w:rsidRPr="001A20E3">
        <w:rPr>
          <w:rStyle w:val="st"/>
          <w:lang w:val="en-GB"/>
        </w:rPr>
        <w:t>7 and 9</w:t>
      </w:r>
      <w:r w:rsidR="00DC03DC" w:rsidRPr="001A20E3">
        <w:rPr>
          <w:rStyle w:val="st"/>
          <w:lang w:val="en-GB"/>
        </w:rPr>
        <w:t>,</w:t>
      </w:r>
      <w:r w:rsidR="00AD1000" w:rsidRPr="001A20E3">
        <w:rPr>
          <w:rStyle w:val="st"/>
          <w:lang w:val="en-GB"/>
        </w:rPr>
        <w:t xml:space="preserve"> of the Convention</w:t>
      </w:r>
      <w:r w:rsidR="003B7A60" w:rsidRPr="001A20E3">
        <w:rPr>
          <w:rStyle w:val="st"/>
          <w:lang w:val="en-GB"/>
        </w:rPr>
        <w:t>.</w:t>
      </w:r>
    </w:p>
    <w:p w:rsidR="005162E0" w:rsidRPr="001A20E3" w:rsidRDefault="005162E0" w:rsidP="005162E0">
      <w:pPr>
        <w:pStyle w:val="SingleTxtG"/>
        <w:numPr>
          <w:ilvl w:val="0"/>
          <w:numId w:val="3"/>
        </w:numPr>
        <w:tabs>
          <w:tab w:val="clear" w:pos="1711"/>
          <w:tab w:val="left" w:pos="1134"/>
          <w:tab w:val="num" w:pos="1701"/>
        </w:tabs>
        <w:ind w:left="1134" w:right="0" w:firstLine="0"/>
        <w:rPr>
          <w:rStyle w:val="st"/>
          <w:lang w:val="en-GB"/>
        </w:rPr>
      </w:pPr>
      <w:bookmarkStart w:id="17" w:name="_Ref499405954"/>
      <w:r w:rsidRPr="001A20E3">
        <w:rPr>
          <w:rStyle w:val="st"/>
          <w:lang w:val="en-GB"/>
        </w:rPr>
        <w:t>With regard to the provision of information</w:t>
      </w:r>
      <w:r w:rsidR="000B78F5" w:rsidRPr="001A20E3">
        <w:rPr>
          <w:rStyle w:val="st"/>
          <w:lang w:val="en-GB"/>
        </w:rPr>
        <w:t xml:space="preserve"> under article 6, paragraph 6 of the Convention</w:t>
      </w:r>
      <w:r w:rsidRPr="001A20E3">
        <w:rPr>
          <w:rStyle w:val="st"/>
          <w:lang w:val="en-GB"/>
        </w:rPr>
        <w:t>, the Party concerned submits that</w:t>
      </w:r>
      <w:r w:rsidR="00B863BD" w:rsidRPr="001A20E3">
        <w:rPr>
          <w:rStyle w:val="st"/>
          <w:lang w:val="en-GB"/>
        </w:rPr>
        <w:t xml:space="preserve">, in accordance with </w:t>
      </w:r>
      <w:r w:rsidRPr="001A20E3">
        <w:rPr>
          <w:rStyle w:val="st"/>
          <w:lang w:val="en-GB"/>
        </w:rPr>
        <w:t>section 3.11 of the General Administrative Law Act</w:t>
      </w:r>
      <w:r w:rsidR="00B863BD" w:rsidRPr="001A20E3">
        <w:rPr>
          <w:rStyle w:val="st"/>
          <w:lang w:val="en-GB"/>
        </w:rPr>
        <w:t>,</w:t>
      </w:r>
      <w:r w:rsidRPr="001A20E3">
        <w:rPr>
          <w:rStyle w:val="st"/>
          <w:lang w:val="en-GB"/>
        </w:rPr>
        <w:t xml:space="preserve"> </w:t>
      </w:r>
      <w:r w:rsidRPr="001A20E3">
        <w:rPr>
          <w:lang w:val="en-GB"/>
        </w:rPr>
        <w:t>the draft decision, the application and all other relevant documents were physically available for examination in the municipality of Borssele and the Ministry of Economic Affairs in the Hague and available for download on a government website.</w:t>
      </w:r>
      <w:r w:rsidRPr="001A20E3">
        <w:rPr>
          <w:rStyle w:val="FootnoteReference"/>
          <w:lang w:val="en-GB"/>
        </w:rPr>
        <w:footnoteReference w:id="61"/>
      </w:r>
      <w:r w:rsidRPr="001A20E3">
        <w:rPr>
          <w:lang w:val="en-GB"/>
        </w:rPr>
        <w:t xml:space="preserve"> Concerning the environmental effects of the </w:t>
      </w:r>
      <w:r w:rsidR="0046030A">
        <w:rPr>
          <w:lang w:val="en-GB"/>
        </w:rPr>
        <w:t>licence</w:t>
      </w:r>
      <w:r w:rsidRPr="001A20E3">
        <w:rPr>
          <w:lang w:val="en-GB"/>
        </w:rPr>
        <w:t xml:space="preserve"> decision, the Party concerned refers to the negative EIA screening decision and submits that this decision was also incorporated and </w:t>
      </w:r>
      <w:r w:rsidRPr="00695D7A">
        <w:rPr>
          <w:lang w:val="en-GB"/>
        </w:rPr>
        <w:t>extensively motivated</w:t>
      </w:r>
      <w:r w:rsidRPr="001A20E3">
        <w:rPr>
          <w:lang w:val="en-GB"/>
        </w:rPr>
        <w:t xml:space="preserve"> in the </w:t>
      </w:r>
      <w:r w:rsidR="0046030A">
        <w:rPr>
          <w:lang w:val="en-GB"/>
        </w:rPr>
        <w:t>licence</w:t>
      </w:r>
      <w:r w:rsidRPr="001A20E3">
        <w:rPr>
          <w:lang w:val="en-GB"/>
        </w:rPr>
        <w:t xml:space="preserve"> (in para. 3.1 on p. 12 </w:t>
      </w:r>
      <w:r w:rsidR="0072095F">
        <w:rPr>
          <w:lang w:val="en-GB"/>
        </w:rPr>
        <w:t>thereof</w:t>
      </w:r>
      <w:r w:rsidRPr="001A20E3">
        <w:rPr>
          <w:lang w:val="en-GB"/>
        </w:rPr>
        <w:t xml:space="preserve">) and mentioned in its replies to views expressed on the topic (para. 6.4.1, section a, on p. 32 of the </w:t>
      </w:r>
      <w:r w:rsidR="0046030A">
        <w:rPr>
          <w:lang w:val="en-GB"/>
        </w:rPr>
        <w:t>licence</w:t>
      </w:r>
      <w:r w:rsidRPr="001A20E3">
        <w:rPr>
          <w:lang w:val="en-GB"/>
        </w:rPr>
        <w:t>).</w:t>
      </w:r>
      <w:r w:rsidRPr="001A20E3">
        <w:rPr>
          <w:rStyle w:val="FootnoteReference"/>
          <w:lang w:val="en-GB"/>
        </w:rPr>
        <w:footnoteReference w:id="62"/>
      </w:r>
      <w:r w:rsidR="00B529BA" w:rsidRPr="001A20E3">
        <w:rPr>
          <w:lang w:val="en-GB"/>
        </w:rPr>
        <w:t xml:space="preserve"> It further submits that because the initial </w:t>
      </w:r>
      <w:r w:rsidR="0046030A">
        <w:rPr>
          <w:lang w:val="en-GB"/>
        </w:rPr>
        <w:t>licence</w:t>
      </w:r>
      <w:r w:rsidR="00B529BA" w:rsidRPr="001A20E3">
        <w:rPr>
          <w:lang w:val="en-GB"/>
        </w:rPr>
        <w:t xml:space="preserve"> was valid for an indefinite period and had not expired, no more or less favourable environmental impacts were to be expected of the decision to extend the design lifetime as already considered in previous licensing procedures.</w:t>
      </w:r>
      <w:r w:rsidR="00B529BA" w:rsidRPr="001A20E3">
        <w:rPr>
          <w:rStyle w:val="FootnoteReference"/>
          <w:lang w:val="en-GB"/>
        </w:rPr>
        <w:footnoteReference w:id="63"/>
      </w:r>
      <w:bookmarkEnd w:id="17"/>
    </w:p>
    <w:p w:rsidR="000013C1" w:rsidRPr="001A20E3" w:rsidRDefault="00DC03DC" w:rsidP="00A734E7">
      <w:pPr>
        <w:pStyle w:val="SingleTxtG"/>
        <w:numPr>
          <w:ilvl w:val="0"/>
          <w:numId w:val="3"/>
        </w:numPr>
        <w:tabs>
          <w:tab w:val="clear" w:pos="1711"/>
          <w:tab w:val="left" w:pos="1134"/>
          <w:tab w:val="num" w:pos="1701"/>
        </w:tabs>
        <w:ind w:left="1134" w:right="0" w:firstLine="0"/>
        <w:rPr>
          <w:rStyle w:val="st"/>
          <w:lang w:val="en-GB"/>
        </w:rPr>
      </w:pPr>
      <w:r w:rsidRPr="001A20E3">
        <w:rPr>
          <w:rStyle w:val="st"/>
          <w:lang w:val="en-GB"/>
        </w:rPr>
        <w:t xml:space="preserve">While the Party concerned concedes that the decision itself and the </w:t>
      </w:r>
      <w:r w:rsidR="0046030A">
        <w:rPr>
          <w:rStyle w:val="st"/>
          <w:lang w:val="en-GB"/>
        </w:rPr>
        <w:t>licence</w:t>
      </w:r>
      <w:r w:rsidRPr="001A20E3">
        <w:rPr>
          <w:rStyle w:val="st"/>
          <w:lang w:val="en-GB"/>
        </w:rPr>
        <w:t xml:space="preserve"> conditions </w:t>
      </w:r>
      <w:r w:rsidRPr="00695D7A">
        <w:rPr>
          <w:rStyle w:val="st"/>
          <w:lang w:val="en-GB"/>
        </w:rPr>
        <w:t>were not adapted</w:t>
      </w:r>
      <w:r w:rsidR="000B78F5" w:rsidRPr="001A20E3">
        <w:rPr>
          <w:rStyle w:val="st"/>
          <w:lang w:val="en-GB"/>
        </w:rPr>
        <w:t xml:space="preserve"> as a result of the public’s comments</w:t>
      </w:r>
      <w:r w:rsidRPr="001A20E3">
        <w:rPr>
          <w:rStyle w:val="st"/>
          <w:lang w:val="en-GB"/>
        </w:rPr>
        <w:t xml:space="preserve">, </w:t>
      </w:r>
      <w:bookmarkStart w:id="18" w:name="_Ref431993681"/>
      <w:r w:rsidRPr="001A20E3">
        <w:rPr>
          <w:rStyle w:val="st"/>
          <w:lang w:val="en-GB"/>
        </w:rPr>
        <w:t>it</w:t>
      </w:r>
      <w:r w:rsidR="000013C1" w:rsidRPr="001A20E3">
        <w:rPr>
          <w:rStyle w:val="st"/>
          <w:lang w:val="en-GB"/>
        </w:rPr>
        <w:t xml:space="preserve"> </w:t>
      </w:r>
      <w:r w:rsidRPr="001A20E3">
        <w:rPr>
          <w:rStyle w:val="st"/>
          <w:lang w:val="en-GB"/>
        </w:rPr>
        <w:t>submits</w:t>
      </w:r>
      <w:r w:rsidR="000013C1" w:rsidRPr="001A20E3">
        <w:rPr>
          <w:rStyle w:val="st"/>
          <w:lang w:val="en-GB"/>
        </w:rPr>
        <w:t xml:space="preserve"> that</w:t>
      </w:r>
      <w:r w:rsidRPr="001A20E3">
        <w:rPr>
          <w:rStyle w:val="st"/>
          <w:lang w:val="en-GB"/>
        </w:rPr>
        <w:t xml:space="preserve"> the</w:t>
      </w:r>
      <w:r w:rsidR="000013C1" w:rsidRPr="001A20E3">
        <w:rPr>
          <w:rStyle w:val="st"/>
          <w:lang w:val="en-GB"/>
        </w:rPr>
        <w:t xml:space="preserve"> national competent authority took due account of the public’s views in accordance with article 6, paragraph 8, of the Convention and that the reasoning of the </w:t>
      </w:r>
      <w:r w:rsidR="0046030A">
        <w:rPr>
          <w:rStyle w:val="st"/>
          <w:lang w:val="en-GB"/>
        </w:rPr>
        <w:t>licence</w:t>
      </w:r>
      <w:r w:rsidR="000013C1" w:rsidRPr="001A20E3">
        <w:rPr>
          <w:rStyle w:val="st"/>
          <w:lang w:val="en-GB"/>
        </w:rPr>
        <w:t xml:space="preserve"> was clarified on a number of points.</w:t>
      </w:r>
      <w:r w:rsidR="000013C1" w:rsidRPr="001A20E3">
        <w:rPr>
          <w:rStyle w:val="FootnoteReference"/>
          <w:lang w:val="en-GB"/>
        </w:rPr>
        <w:footnoteReference w:id="64"/>
      </w:r>
      <w:bookmarkEnd w:id="18"/>
    </w:p>
    <w:p w:rsidR="007C0AD3" w:rsidRPr="001A20E3" w:rsidRDefault="007C0AD3" w:rsidP="0012554A">
      <w:pPr>
        <w:pStyle w:val="SingleTxtG"/>
        <w:numPr>
          <w:ilvl w:val="0"/>
          <w:numId w:val="3"/>
        </w:numPr>
        <w:tabs>
          <w:tab w:val="clear" w:pos="1711"/>
          <w:tab w:val="left" w:pos="1134"/>
          <w:tab w:val="num" w:pos="1701"/>
        </w:tabs>
        <w:ind w:left="1134" w:right="0" w:firstLine="0"/>
        <w:rPr>
          <w:rStyle w:val="st"/>
          <w:lang w:val="en-GB"/>
        </w:rPr>
      </w:pPr>
      <w:r w:rsidRPr="001A20E3">
        <w:rPr>
          <w:rStyle w:val="st"/>
          <w:lang w:val="en-GB"/>
        </w:rPr>
        <w:t>The Party concerned also argue</w:t>
      </w:r>
      <w:r w:rsidR="00092AA4" w:rsidRPr="001A20E3">
        <w:rPr>
          <w:rStyle w:val="st"/>
          <w:lang w:val="en-GB"/>
        </w:rPr>
        <w:t>s</w:t>
      </w:r>
      <w:r w:rsidRPr="001A20E3">
        <w:rPr>
          <w:rStyle w:val="st"/>
          <w:lang w:val="en-GB"/>
        </w:rPr>
        <w:t xml:space="preserve"> that the public consultation was not limited to the issue of technical nuclear safety </w:t>
      </w:r>
      <w:r w:rsidR="00BE5606" w:rsidRPr="001A20E3">
        <w:rPr>
          <w:rStyle w:val="st"/>
          <w:lang w:val="en-GB"/>
        </w:rPr>
        <w:t>but also</w:t>
      </w:r>
      <w:r w:rsidRPr="001A20E3">
        <w:rPr>
          <w:rStyle w:val="st"/>
          <w:lang w:val="en-GB"/>
        </w:rPr>
        <w:t xml:space="preserve"> included issues relating to the potential impact on the environment. The Party concerned submits that in accordance with Divisions 3.4 </w:t>
      </w:r>
      <w:r w:rsidR="00FA1A75" w:rsidRPr="001A20E3">
        <w:rPr>
          <w:rStyle w:val="st"/>
          <w:lang w:val="en-GB"/>
        </w:rPr>
        <w:t xml:space="preserve">of the General Administrative Law Act </w:t>
      </w:r>
      <w:r w:rsidRPr="001A20E3">
        <w:rPr>
          <w:rStyle w:val="st"/>
          <w:lang w:val="en-GB"/>
        </w:rPr>
        <w:t xml:space="preserve">and 13.2 of the Environmental Management Act anyone could have submitted an opinion on the preliminary decision. </w:t>
      </w:r>
      <w:r w:rsidR="0086603E" w:rsidRPr="001A20E3">
        <w:rPr>
          <w:rStyle w:val="st"/>
          <w:lang w:val="en-GB"/>
        </w:rPr>
        <w:t xml:space="preserve">It submits that in </w:t>
      </w:r>
      <w:r w:rsidRPr="001A20E3">
        <w:rPr>
          <w:rStyle w:val="st"/>
          <w:lang w:val="en-GB"/>
        </w:rPr>
        <w:t>the preliminary decision and other relevant documents the</w:t>
      </w:r>
      <w:r w:rsidR="0086603E" w:rsidRPr="001A20E3">
        <w:rPr>
          <w:rStyle w:val="st"/>
          <w:lang w:val="en-GB"/>
        </w:rPr>
        <w:t xml:space="preserve"> proposed</w:t>
      </w:r>
      <w:r w:rsidRPr="001A20E3">
        <w:rPr>
          <w:rStyle w:val="st"/>
          <w:lang w:val="en-GB"/>
        </w:rPr>
        <w:t xml:space="preserve"> changes to the Safety Report </w:t>
      </w:r>
      <w:r w:rsidR="0086603E" w:rsidRPr="001A20E3">
        <w:rPr>
          <w:rStyle w:val="st"/>
          <w:lang w:val="en-GB"/>
        </w:rPr>
        <w:t xml:space="preserve">were </w:t>
      </w:r>
      <w:r w:rsidRPr="001A20E3">
        <w:rPr>
          <w:rStyle w:val="st"/>
          <w:lang w:val="en-GB"/>
        </w:rPr>
        <w:t>clearly set out.</w:t>
      </w:r>
      <w:r w:rsidR="0012554A" w:rsidRPr="001A20E3">
        <w:rPr>
          <w:lang w:val="en-GB"/>
        </w:rPr>
        <w:t xml:space="preserve"> </w:t>
      </w:r>
      <w:r w:rsidRPr="001A20E3">
        <w:rPr>
          <w:rStyle w:val="st"/>
          <w:lang w:val="en-GB"/>
        </w:rPr>
        <w:t xml:space="preserve">The Party concerned argues that models and calculations </w:t>
      </w:r>
      <w:r w:rsidR="0086603E" w:rsidRPr="001A20E3">
        <w:rPr>
          <w:rStyle w:val="st"/>
          <w:lang w:val="en-GB"/>
        </w:rPr>
        <w:t xml:space="preserve">were </w:t>
      </w:r>
      <w:r w:rsidRPr="001A20E3">
        <w:rPr>
          <w:rStyle w:val="st"/>
          <w:lang w:val="en-GB"/>
        </w:rPr>
        <w:t>used to explain the consequences of extending the design lifetime and to indicate that the extension of the design lifetime would not have any environmental impacts.</w:t>
      </w:r>
      <w:r w:rsidR="00467B52" w:rsidRPr="001A20E3">
        <w:rPr>
          <w:rStyle w:val="FootnoteReference"/>
          <w:lang w:val="en-GB"/>
        </w:rPr>
        <w:footnoteReference w:id="65"/>
      </w:r>
      <w:r w:rsidR="0012554A" w:rsidRPr="001A20E3">
        <w:rPr>
          <w:rStyle w:val="st"/>
          <w:lang w:val="en-GB"/>
        </w:rPr>
        <w:t xml:space="preserve"> </w:t>
      </w:r>
      <w:r w:rsidR="00ED39EB" w:rsidRPr="001A20E3">
        <w:rPr>
          <w:rStyle w:val="st"/>
          <w:lang w:val="en-GB"/>
        </w:rPr>
        <w:t xml:space="preserve">It also submits that the </w:t>
      </w:r>
      <w:r w:rsidR="00ED39EB" w:rsidRPr="001A20E3">
        <w:rPr>
          <w:rStyle w:val="st"/>
          <w:lang w:val="en-GB"/>
        </w:rPr>
        <w:lastRenderedPageBreak/>
        <w:t xml:space="preserve">final decision addresses environmental effects and the views of the public expressed on </w:t>
      </w:r>
      <w:r w:rsidR="0072095F" w:rsidRPr="001A20E3">
        <w:rPr>
          <w:rStyle w:val="st"/>
          <w:lang w:val="en-GB"/>
        </w:rPr>
        <w:t>th</w:t>
      </w:r>
      <w:r w:rsidR="0072095F">
        <w:rPr>
          <w:rStyle w:val="st"/>
          <w:lang w:val="en-GB"/>
        </w:rPr>
        <w:t>at</w:t>
      </w:r>
      <w:r w:rsidR="0072095F" w:rsidRPr="001A20E3">
        <w:rPr>
          <w:rStyle w:val="st"/>
          <w:lang w:val="en-GB"/>
        </w:rPr>
        <w:t xml:space="preserve"> </w:t>
      </w:r>
      <w:r w:rsidR="00ED39EB" w:rsidRPr="001A20E3">
        <w:rPr>
          <w:rStyle w:val="st"/>
          <w:lang w:val="en-GB"/>
        </w:rPr>
        <w:t>topic.</w:t>
      </w:r>
      <w:r w:rsidR="00ED39EB" w:rsidRPr="001A20E3">
        <w:rPr>
          <w:rStyle w:val="FootnoteReference"/>
          <w:lang w:val="en-GB"/>
        </w:rPr>
        <w:footnoteReference w:id="66"/>
      </w:r>
    </w:p>
    <w:p w:rsidR="0063153F" w:rsidRPr="00695D7A" w:rsidRDefault="00043F32" w:rsidP="00695D7A">
      <w:pPr>
        <w:pStyle w:val="SingleTxtG"/>
        <w:tabs>
          <w:tab w:val="left" w:pos="1134"/>
        </w:tabs>
        <w:ind w:right="0"/>
        <w:rPr>
          <w:rStyle w:val="st"/>
          <w:i/>
          <w:lang w:val="en-GB"/>
        </w:rPr>
      </w:pPr>
      <w:r w:rsidRPr="00695D7A">
        <w:rPr>
          <w:rStyle w:val="st"/>
          <w:i/>
          <w:lang w:val="en-GB"/>
        </w:rPr>
        <w:t>Earlier</w:t>
      </w:r>
      <w:r w:rsidR="0001257F" w:rsidRPr="001A20E3">
        <w:rPr>
          <w:rStyle w:val="st"/>
          <w:i/>
          <w:lang w:val="en-GB"/>
        </w:rPr>
        <w:t xml:space="preserve"> public participation</w:t>
      </w:r>
      <w:r w:rsidR="0063153F" w:rsidRPr="001A20E3">
        <w:rPr>
          <w:rStyle w:val="st"/>
          <w:i/>
          <w:lang w:val="en-GB"/>
        </w:rPr>
        <w:t xml:space="preserve"> procedures related to Borssele NPP</w:t>
      </w:r>
    </w:p>
    <w:p w:rsidR="0063153F" w:rsidRPr="00695D7A" w:rsidRDefault="00B13992" w:rsidP="0063153F">
      <w:pPr>
        <w:pStyle w:val="SingleTxtG"/>
        <w:numPr>
          <w:ilvl w:val="0"/>
          <w:numId w:val="3"/>
        </w:numPr>
        <w:tabs>
          <w:tab w:val="clear" w:pos="1711"/>
          <w:tab w:val="left" w:pos="1134"/>
          <w:tab w:val="num" w:pos="1701"/>
        </w:tabs>
        <w:ind w:left="1134" w:right="0" w:firstLine="0"/>
        <w:rPr>
          <w:rStyle w:val="st"/>
          <w:lang w:val="en-GB"/>
        </w:rPr>
      </w:pPr>
      <w:r w:rsidRPr="001A20E3">
        <w:rPr>
          <w:rStyle w:val="st"/>
          <w:lang w:val="en-GB"/>
        </w:rPr>
        <w:t xml:space="preserve">The communicant submits that there were no </w:t>
      </w:r>
      <w:r w:rsidR="00887413" w:rsidRPr="001A20E3">
        <w:rPr>
          <w:rStyle w:val="st"/>
          <w:lang w:val="en-GB"/>
        </w:rPr>
        <w:t xml:space="preserve">previous public participation procedures that explicitly assessed environmental issues </w:t>
      </w:r>
      <w:r w:rsidR="0086603E" w:rsidRPr="001A20E3">
        <w:rPr>
          <w:rStyle w:val="st"/>
          <w:lang w:val="en-GB"/>
        </w:rPr>
        <w:t xml:space="preserve">which </w:t>
      </w:r>
      <w:r w:rsidR="00887413" w:rsidRPr="001A20E3">
        <w:rPr>
          <w:rStyle w:val="st"/>
          <w:lang w:val="en-GB"/>
        </w:rPr>
        <w:t xml:space="preserve">considered </w:t>
      </w:r>
      <w:r w:rsidRPr="001A20E3">
        <w:rPr>
          <w:rStyle w:val="st"/>
          <w:lang w:val="en-GB"/>
        </w:rPr>
        <w:t xml:space="preserve">the effects of the </w:t>
      </w:r>
      <w:r w:rsidR="00B863BD" w:rsidRPr="001A20E3">
        <w:rPr>
          <w:rStyle w:val="st"/>
          <w:lang w:val="en-GB"/>
        </w:rPr>
        <w:t xml:space="preserve">operation of the </w:t>
      </w:r>
      <w:r w:rsidR="0082514B" w:rsidRPr="001A20E3">
        <w:rPr>
          <w:rStyle w:val="st"/>
          <w:lang w:val="en-GB"/>
        </w:rPr>
        <w:t xml:space="preserve">Borssele </w:t>
      </w:r>
      <w:r w:rsidR="00B863BD" w:rsidRPr="001A20E3">
        <w:rPr>
          <w:rStyle w:val="st"/>
          <w:lang w:val="en-GB"/>
        </w:rPr>
        <w:t>NPP beyond 2013</w:t>
      </w:r>
      <w:r w:rsidRPr="001A20E3">
        <w:rPr>
          <w:rStyle w:val="st"/>
          <w:lang w:val="en-GB"/>
        </w:rPr>
        <w:t>.</w:t>
      </w:r>
      <w:r w:rsidRPr="001A20E3">
        <w:rPr>
          <w:rStyle w:val="FootnoteReference"/>
          <w:lang w:val="en-GB"/>
        </w:rPr>
        <w:footnoteReference w:id="67"/>
      </w:r>
      <w:r w:rsidRPr="001A20E3">
        <w:rPr>
          <w:rStyle w:val="st"/>
          <w:lang w:val="en-GB"/>
        </w:rPr>
        <w:t xml:space="preserve"> </w:t>
      </w:r>
      <w:r w:rsidR="00E16805" w:rsidRPr="00695D7A">
        <w:rPr>
          <w:rStyle w:val="st"/>
          <w:lang w:val="en-GB"/>
        </w:rPr>
        <w:t>Contrary to the submission of the Party concerned</w:t>
      </w:r>
      <w:r w:rsidR="00B4439F">
        <w:rPr>
          <w:rStyle w:val="st"/>
          <w:lang w:val="en-GB"/>
        </w:rPr>
        <w:t xml:space="preserve"> (see below)</w:t>
      </w:r>
      <w:r w:rsidR="00E16805" w:rsidRPr="00695D7A">
        <w:rPr>
          <w:rStyle w:val="st"/>
          <w:lang w:val="en-GB"/>
        </w:rPr>
        <w:t xml:space="preserve">, the communicant alleges that the impact of the utilisation of MOX fuel and a prolonged lifetime </w:t>
      </w:r>
      <w:r w:rsidR="0086603E" w:rsidRPr="00695D7A">
        <w:rPr>
          <w:rStyle w:val="st"/>
          <w:lang w:val="en-GB"/>
        </w:rPr>
        <w:t>was</w:t>
      </w:r>
      <w:r w:rsidR="00E16805" w:rsidRPr="00695D7A">
        <w:rPr>
          <w:rStyle w:val="st"/>
          <w:lang w:val="en-GB"/>
        </w:rPr>
        <w:t xml:space="preserve"> not considered.</w:t>
      </w:r>
      <w:r w:rsidR="00E16805" w:rsidRPr="00695D7A">
        <w:rPr>
          <w:rStyle w:val="FootnoteReference"/>
          <w:lang w:val="en-GB"/>
        </w:rPr>
        <w:footnoteReference w:id="68"/>
      </w:r>
    </w:p>
    <w:p w:rsidR="00E16805" w:rsidRPr="001A20E3" w:rsidRDefault="00E16805" w:rsidP="0063153F">
      <w:pPr>
        <w:pStyle w:val="SingleTxtG"/>
        <w:numPr>
          <w:ilvl w:val="0"/>
          <w:numId w:val="3"/>
        </w:numPr>
        <w:tabs>
          <w:tab w:val="clear" w:pos="1711"/>
          <w:tab w:val="left" w:pos="1134"/>
          <w:tab w:val="num" w:pos="1701"/>
        </w:tabs>
        <w:ind w:left="1134" w:right="0" w:firstLine="0"/>
        <w:rPr>
          <w:rStyle w:val="st"/>
          <w:lang w:val="en-GB"/>
        </w:rPr>
      </w:pPr>
      <w:r w:rsidRPr="00695D7A">
        <w:rPr>
          <w:rStyle w:val="st"/>
          <w:lang w:val="en-GB"/>
        </w:rPr>
        <w:t>The communicant further submits that neither the 2006 Covenant nor the 2010 amendment of the Nuclear Energy Act were subject to public participation procedures. It submits that</w:t>
      </w:r>
      <w:r w:rsidR="0072095F">
        <w:rPr>
          <w:rStyle w:val="st"/>
          <w:lang w:val="en-GB"/>
        </w:rPr>
        <w:t>, on its own initiative,</w:t>
      </w:r>
      <w:r w:rsidRPr="00695D7A">
        <w:rPr>
          <w:rStyle w:val="st"/>
          <w:lang w:val="en-GB"/>
        </w:rPr>
        <w:t xml:space="preserve"> it submitted views on a </w:t>
      </w:r>
      <w:r w:rsidR="00BE5606" w:rsidRPr="00695D7A">
        <w:rPr>
          <w:rStyle w:val="st"/>
          <w:lang w:val="en-GB"/>
        </w:rPr>
        <w:t xml:space="preserve">2005 </w:t>
      </w:r>
      <w:r w:rsidRPr="00695D7A">
        <w:rPr>
          <w:rStyle w:val="st"/>
          <w:lang w:val="en-GB"/>
        </w:rPr>
        <w:t xml:space="preserve">study commissioned by the government </w:t>
      </w:r>
      <w:r w:rsidR="00BE5606" w:rsidRPr="00695D7A">
        <w:rPr>
          <w:rStyle w:val="st"/>
          <w:lang w:val="en-GB"/>
        </w:rPr>
        <w:t xml:space="preserve">in the preparation of the </w:t>
      </w:r>
      <w:r w:rsidR="0072095F">
        <w:rPr>
          <w:rStyle w:val="st"/>
          <w:lang w:val="en-GB"/>
        </w:rPr>
        <w:t xml:space="preserve">2006 </w:t>
      </w:r>
      <w:r w:rsidR="00BE5606" w:rsidRPr="00695D7A">
        <w:rPr>
          <w:rStyle w:val="st"/>
          <w:lang w:val="en-GB"/>
        </w:rPr>
        <w:t xml:space="preserve">Covenant and that the Parliament invited specific stakeholders to give input, including the communicant, but that there </w:t>
      </w:r>
      <w:r w:rsidR="0072095F">
        <w:rPr>
          <w:rStyle w:val="st"/>
          <w:lang w:val="en-GB"/>
        </w:rPr>
        <w:t xml:space="preserve">were no opportunities for the </w:t>
      </w:r>
      <w:r w:rsidR="00BE5606" w:rsidRPr="00695D7A">
        <w:rPr>
          <w:rStyle w:val="st"/>
          <w:lang w:val="en-GB"/>
        </w:rPr>
        <w:t xml:space="preserve">public </w:t>
      </w:r>
      <w:r w:rsidR="0072095F">
        <w:rPr>
          <w:rStyle w:val="st"/>
          <w:lang w:val="en-GB"/>
        </w:rPr>
        <w:t>in general to participate</w:t>
      </w:r>
      <w:r w:rsidR="00BE5606" w:rsidRPr="00695D7A">
        <w:rPr>
          <w:rStyle w:val="st"/>
          <w:lang w:val="en-GB"/>
        </w:rPr>
        <w:t>.</w:t>
      </w:r>
      <w:r w:rsidR="00BE5606" w:rsidRPr="00695D7A">
        <w:rPr>
          <w:rStyle w:val="FootnoteReference"/>
          <w:lang w:val="en-GB"/>
        </w:rPr>
        <w:footnoteReference w:id="69"/>
      </w:r>
    </w:p>
    <w:p w:rsidR="00AC4E3B" w:rsidRPr="001A20E3" w:rsidRDefault="00AC4E3B" w:rsidP="00AC4E3B">
      <w:pPr>
        <w:pStyle w:val="SingleTxtG"/>
        <w:numPr>
          <w:ilvl w:val="0"/>
          <w:numId w:val="3"/>
        </w:numPr>
        <w:tabs>
          <w:tab w:val="clear" w:pos="1711"/>
          <w:tab w:val="left" w:pos="1134"/>
          <w:tab w:val="num" w:pos="1701"/>
        </w:tabs>
        <w:ind w:left="1134" w:right="0" w:firstLine="0"/>
        <w:rPr>
          <w:rStyle w:val="st"/>
          <w:lang w:val="en-GB"/>
        </w:rPr>
      </w:pPr>
      <w:r w:rsidRPr="001A20E3">
        <w:rPr>
          <w:lang w:val="en-GB"/>
        </w:rPr>
        <w:t>The communicant alleges that the conclusion of the 2006 Covenant was a decision in a tiered decision-making process that led to a de facto lifetime extension of the Borssele NPP and thus should have been preceded by public participation.</w:t>
      </w:r>
      <w:r w:rsidRPr="001A20E3">
        <w:rPr>
          <w:rStyle w:val="FootnoteReference"/>
          <w:lang w:val="en-GB"/>
        </w:rPr>
        <w:footnoteReference w:id="70"/>
      </w:r>
    </w:p>
    <w:p w:rsidR="003C3E36" w:rsidRPr="00695D7A" w:rsidRDefault="003C3E36" w:rsidP="00A734E7">
      <w:pPr>
        <w:pStyle w:val="SingleTxtG"/>
        <w:numPr>
          <w:ilvl w:val="0"/>
          <w:numId w:val="3"/>
        </w:numPr>
        <w:tabs>
          <w:tab w:val="clear" w:pos="1711"/>
          <w:tab w:val="left" w:pos="1134"/>
          <w:tab w:val="num" w:pos="1701"/>
        </w:tabs>
        <w:ind w:left="1134" w:right="0" w:firstLine="0"/>
        <w:rPr>
          <w:rStyle w:val="st"/>
          <w:lang w:val="en-GB"/>
        </w:rPr>
      </w:pPr>
      <w:r w:rsidRPr="00695D7A">
        <w:rPr>
          <w:rStyle w:val="st"/>
          <w:lang w:val="en-GB"/>
        </w:rPr>
        <w:t xml:space="preserve">The Party concerned </w:t>
      </w:r>
      <w:r w:rsidR="00C17732" w:rsidRPr="00695D7A">
        <w:rPr>
          <w:rStyle w:val="st"/>
          <w:lang w:val="en-GB"/>
        </w:rPr>
        <w:t xml:space="preserve">concedes </w:t>
      </w:r>
      <w:r w:rsidRPr="00695D7A">
        <w:rPr>
          <w:rStyle w:val="st"/>
          <w:lang w:val="en-GB"/>
        </w:rPr>
        <w:t xml:space="preserve">that the extension of the design lifetime of the Borssele NPP was not considered in the </w:t>
      </w:r>
      <w:r w:rsidR="004E777C">
        <w:rPr>
          <w:rStyle w:val="st"/>
          <w:lang w:val="en-GB"/>
        </w:rPr>
        <w:t>environmental impact assessments carried out in 1996, 2004 and 2011 in the context of the 1</w:t>
      </w:r>
      <w:r w:rsidRPr="00695D7A">
        <w:rPr>
          <w:rStyle w:val="st"/>
          <w:lang w:val="en-GB"/>
        </w:rPr>
        <w:t>996, 2004 and 201</w:t>
      </w:r>
      <w:r w:rsidR="004E777C">
        <w:rPr>
          <w:rStyle w:val="st"/>
          <w:lang w:val="en-GB"/>
        </w:rPr>
        <w:t>3</w:t>
      </w:r>
      <w:r w:rsidRPr="00695D7A">
        <w:rPr>
          <w:rStyle w:val="st"/>
          <w:lang w:val="en-GB"/>
        </w:rPr>
        <w:t xml:space="preserve"> </w:t>
      </w:r>
      <w:r w:rsidR="004E777C">
        <w:rPr>
          <w:rStyle w:val="st"/>
          <w:lang w:val="en-GB"/>
        </w:rPr>
        <w:t>changes to the licence</w:t>
      </w:r>
      <w:r w:rsidR="00B863BD" w:rsidRPr="00695D7A">
        <w:rPr>
          <w:rStyle w:val="st"/>
          <w:lang w:val="en-GB"/>
        </w:rPr>
        <w:t>.</w:t>
      </w:r>
      <w:r w:rsidRPr="00695D7A">
        <w:rPr>
          <w:rStyle w:val="st"/>
          <w:lang w:val="en-GB"/>
        </w:rPr>
        <w:t xml:space="preserve"> The Party concerned claims, however, that the </w:t>
      </w:r>
      <w:r w:rsidR="004E777C">
        <w:rPr>
          <w:rStyle w:val="st"/>
          <w:lang w:val="en-GB"/>
        </w:rPr>
        <w:t xml:space="preserve">2011 </w:t>
      </w:r>
      <w:r w:rsidRPr="00695D7A">
        <w:rPr>
          <w:rStyle w:val="st"/>
          <w:lang w:val="en-GB"/>
        </w:rPr>
        <w:t>EIA report on MOX</w:t>
      </w:r>
      <w:r w:rsidR="00C17732" w:rsidRPr="00695D7A">
        <w:rPr>
          <w:rStyle w:val="st"/>
          <w:lang w:val="en-GB"/>
        </w:rPr>
        <w:t xml:space="preserve"> fuel</w:t>
      </w:r>
      <w:r w:rsidRPr="00695D7A">
        <w:rPr>
          <w:rStyle w:val="st"/>
          <w:lang w:val="en-GB"/>
        </w:rPr>
        <w:t xml:space="preserve"> </w:t>
      </w:r>
      <w:r w:rsidR="00B863BD" w:rsidRPr="00695D7A">
        <w:rPr>
          <w:rStyle w:val="st"/>
          <w:lang w:val="en-GB"/>
        </w:rPr>
        <w:t xml:space="preserve">took </w:t>
      </w:r>
      <w:r w:rsidRPr="00695D7A">
        <w:rPr>
          <w:rStyle w:val="st"/>
          <w:lang w:val="en-GB"/>
        </w:rPr>
        <w:t xml:space="preserve">into account the fact that </w:t>
      </w:r>
      <w:r w:rsidR="00061BD7" w:rsidRPr="00695D7A">
        <w:rPr>
          <w:rStyle w:val="st"/>
          <w:lang w:val="en-GB"/>
        </w:rPr>
        <w:t xml:space="preserve">that </w:t>
      </w:r>
      <w:r w:rsidRPr="00695D7A">
        <w:rPr>
          <w:rStyle w:val="st"/>
          <w:lang w:val="en-GB"/>
        </w:rPr>
        <w:t>fuel will be used until the end of 2033.</w:t>
      </w:r>
      <w:r w:rsidRPr="00695D7A">
        <w:rPr>
          <w:rStyle w:val="FootnoteReference"/>
          <w:lang w:val="en-GB"/>
        </w:rPr>
        <w:footnoteReference w:id="71"/>
      </w:r>
    </w:p>
    <w:p w:rsidR="00AC4E3B" w:rsidRPr="00695D7A" w:rsidRDefault="00AC4E3B" w:rsidP="00AC4E3B">
      <w:pPr>
        <w:pStyle w:val="SingleTxtG"/>
        <w:numPr>
          <w:ilvl w:val="0"/>
          <w:numId w:val="3"/>
        </w:numPr>
        <w:tabs>
          <w:tab w:val="clear" w:pos="1711"/>
          <w:tab w:val="left" w:pos="1134"/>
          <w:tab w:val="num" w:pos="1701"/>
        </w:tabs>
        <w:ind w:left="1134" w:right="0" w:firstLine="0"/>
        <w:rPr>
          <w:rStyle w:val="st"/>
          <w:lang w:val="en-GB"/>
        </w:rPr>
      </w:pPr>
      <w:r w:rsidRPr="00695D7A">
        <w:rPr>
          <w:rStyle w:val="st"/>
          <w:lang w:val="en-GB"/>
        </w:rPr>
        <w:t xml:space="preserve">With regard to the 2006 Covenant, the Party concerned submits that this agreement in fact led to a restriction of the operating time of the Borssele NPP because the </w:t>
      </w:r>
      <w:r w:rsidR="0046030A">
        <w:rPr>
          <w:rStyle w:val="st"/>
          <w:lang w:val="en-GB"/>
        </w:rPr>
        <w:t>licence</w:t>
      </w:r>
      <w:r w:rsidRPr="00695D7A">
        <w:rPr>
          <w:rStyle w:val="st"/>
          <w:lang w:val="en-GB"/>
        </w:rPr>
        <w:t xml:space="preserve"> had been issued for an indefinite period and the Covenant stipulates closure of the plant by 2033.</w:t>
      </w:r>
      <w:r w:rsidRPr="00695D7A">
        <w:rPr>
          <w:rStyle w:val="FootnoteReference"/>
          <w:lang w:val="en-GB"/>
        </w:rPr>
        <w:footnoteReference w:id="72"/>
      </w:r>
      <w:r w:rsidRPr="00695D7A">
        <w:rPr>
          <w:rStyle w:val="st"/>
          <w:lang w:val="en-GB"/>
        </w:rPr>
        <w:t xml:space="preserve"> </w:t>
      </w:r>
      <w:r w:rsidR="00222E96">
        <w:rPr>
          <w:rStyle w:val="st"/>
          <w:lang w:val="en-GB"/>
        </w:rPr>
        <w:t xml:space="preserve">The Party concerned further submits that prior to the </w:t>
      </w:r>
      <w:r w:rsidR="00E16842">
        <w:rPr>
          <w:rStyle w:val="st"/>
          <w:lang w:val="en-GB"/>
        </w:rPr>
        <w:t xml:space="preserve">conclusion of the </w:t>
      </w:r>
      <w:r w:rsidR="00222E96">
        <w:rPr>
          <w:rStyle w:val="st"/>
          <w:lang w:val="en-GB"/>
        </w:rPr>
        <w:t xml:space="preserve">2006 Covenant </w:t>
      </w:r>
      <w:r w:rsidR="00E16842">
        <w:rPr>
          <w:rStyle w:val="st"/>
          <w:lang w:val="en-GB"/>
        </w:rPr>
        <w:t xml:space="preserve">there was no lawful justification </w:t>
      </w:r>
      <w:r w:rsidR="00222E96">
        <w:rPr>
          <w:rStyle w:val="st"/>
          <w:lang w:val="en-GB"/>
        </w:rPr>
        <w:t xml:space="preserve">to withdraw the </w:t>
      </w:r>
      <w:r w:rsidR="0046030A">
        <w:rPr>
          <w:rStyle w:val="st"/>
          <w:lang w:val="en-GB"/>
        </w:rPr>
        <w:t>licence</w:t>
      </w:r>
      <w:r w:rsidR="00222E96">
        <w:rPr>
          <w:rStyle w:val="st"/>
          <w:lang w:val="en-GB"/>
        </w:rPr>
        <w:t xml:space="preserve"> of the NPP operator and, in accordance with article 1 of Protocol No. 1 to the European Convention of Human Rights, the </w:t>
      </w:r>
      <w:r w:rsidR="00E16842">
        <w:rPr>
          <w:rStyle w:val="st"/>
          <w:lang w:val="en-GB"/>
        </w:rPr>
        <w:t>NPP operator</w:t>
      </w:r>
      <w:r w:rsidR="00222E96">
        <w:rPr>
          <w:rStyle w:val="st"/>
          <w:lang w:val="en-GB"/>
        </w:rPr>
        <w:t xml:space="preserve"> would have </w:t>
      </w:r>
      <w:r w:rsidR="00E16842">
        <w:rPr>
          <w:rStyle w:val="st"/>
          <w:lang w:val="en-GB"/>
        </w:rPr>
        <w:t>had a right</w:t>
      </w:r>
      <w:r w:rsidR="00222E96">
        <w:rPr>
          <w:rStyle w:val="st"/>
          <w:lang w:val="en-GB"/>
        </w:rPr>
        <w:t xml:space="preserve"> to </w:t>
      </w:r>
      <w:r w:rsidR="00E16842">
        <w:rPr>
          <w:rStyle w:val="st"/>
          <w:lang w:val="en-GB"/>
        </w:rPr>
        <w:t>receive</w:t>
      </w:r>
      <w:r w:rsidR="00222E96">
        <w:rPr>
          <w:rStyle w:val="st"/>
          <w:lang w:val="en-GB"/>
        </w:rPr>
        <w:t xml:space="preserve"> compensation if </w:t>
      </w:r>
      <w:r w:rsidR="00E16842">
        <w:rPr>
          <w:rStyle w:val="st"/>
          <w:lang w:val="en-GB"/>
        </w:rPr>
        <w:t xml:space="preserve">the NPP operating </w:t>
      </w:r>
      <w:r w:rsidR="0046030A">
        <w:rPr>
          <w:rStyle w:val="st"/>
          <w:lang w:val="en-GB"/>
        </w:rPr>
        <w:t>licence</w:t>
      </w:r>
      <w:r w:rsidR="00E16842">
        <w:rPr>
          <w:rStyle w:val="st"/>
          <w:lang w:val="en-GB"/>
        </w:rPr>
        <w:t xml:space="preserve"> had been </w:t>
      </w:r>
      <w:r w:rsidR="003219EC">
        <w:rPr>
          <w:rStyle w:val="st"/>
          <w:lang w:val="en-GB"/>
        </w:rPr>
        <w:t>terminated</w:t>
      </w:r>
      <w:r w:rsidR="00222E96">
        <w:rPr>
          <w:rStyle w:val="st"/>
          <w:lang w:val="en-GB"/>
        </w:rPr>
        <w:t>.</w:t>
      </w:r>
      <w:r w:rsidR="00222E96">
        <w:rPr>
          <w:rStyle w:val="FootnoteReference"/>
          <w:lang w:val="en-GB"/>
        </w:rPr>
        <w:footnoteReference w:id="73"/>
      </w:r>
    </w:p>
    <w:p w:rsidR="00DB5CC9" w:rsidRPr="00695D7A" w:rsidRDefault="00BE5606" w:rsidP="00A734E7">
      <w:pPr>
        <w:pStyle w:val="SingleTxtG"/>
        <w:numPr>
          <w:ilvl w:val="0"/>
          <w:numId w:val="3"/>
        </w:numPr>
        <w:tabs>
          <w:tab w:val="clear" w:pos="1711"/>
          <w:tab w:val="left" w:pos="1134"/>
          <w:tab w:val="num" w:pos="1701"/>
        </w:tabs>
        <w:ind w:left="1134" w:right="0" w:firstLine="0"/>
        <w:rPr>
          <w:rStyle w:val="st"/>
          <w:lang w:val="en-GB"/>
        </w:rPr>
      </w:pPr>
      <w:r w:rsidRPr="00695D7A">
        <w:rPr>
          <w:rStyle w:val="st"/>
          <w:lang w:val="en-GB"/>
        </w:rPr>
        <w:t>T</w:t>
      </w:r>
      <w:r w:rsidR="003B7A60" w:rsidRPr="00695D7A">
        <w:rPr>
          <w:rStyle w:val="st"/>
          <w:lang w:val="en-GB"/>
        </w:rPr>
        <w:t xml:space="preserve">he Party concerned also </w:t>
      </w:r>
      <w:r w:rsidRPr="00695D7A">
        <w:rPr>
          <w:rStyle w:val="st"/>
          <w:lang w:val="en-GB"/>
        </w:rPr>
        <w:t xml:space="preserve">submits </w:t>
      </w:r>
      <w:r w:rsidR="003B7A60" w:rsidRPr="00695D7A">
        <w:rPr>
          <w:rStyle w:val="st"/>
          <w:lang w:val="en-GB"/>
        </w:rPr>
        <w:t xml:space="preserve">that </w:t>
      </w:r>
      <w:r w:rsidR="0086603E" w:rsidRPr="00695D7A">
        <w:rPr>
          <w:rStyle w:val="st"/>
          <w:lang w:val="en-GB"/>
        </w:rPr>
        <w:t xml:space="preserve">at the time </w:t>
      </w:r>
      <w:r w:rsidR="00C17732" w:rsidRPr="00695D7A">
        <w:rPr>
          <w:rStyle w:val="st"/>
          <w:lang w:val="en-GB"/>
        </w:rPr>
        <w:t>that</w:t>
      </w:r>
      <w:r w:rsidR="0086603E" w:rsidRPr="00695D7A">
        <w:rPr>
          <w:rStyle w:val="st"/>
          <w:lang w:val="en-GB"/>
        </w:rPr>
        <w:t xml:space="preserve"> the communication was submitted it was </w:t>
      </w:r>
      <w:r w:rsidR="003B7A60" w:rsidRPr="00695D7A">
        <w:rPr>
          <w:rStyle w:val="st"/>
          <w:lang w:val="en-GB"/>
        </w:rPr>
        <w:t xml:space="preserve">in the process of evaluating the </w:t>
      </w:r>
      <w:r w:rsidR="00C17732" w:rsidRPr="00695D7A">
        <w:rPr>
          <w:rStyle w:val="st"/>
          <w:lang w:val="en-GB"/>
        </w:rPr>
        <w:t xml:space="preserve">2013 </w:t>
      </w:r>
      <w:r w:rsidR="003B7A60" w:rsidRPr="00695D7A">
        <w:rPr>
          <w:rStyle w:val="st"/>
          <w:lang w:val="en-GB"/>
        </w:rPr>
        <w:t xml:space="preserve">10-year safety review (10EVA13). </w:t>
      </w:r>
      <w:r w:rsidR="00930211" w:rsidRPr="00695D7A">
        <w:rPr>
          <w:rStyle w:val="st"/>
          <w:lang w:val="en-GB"/>
        </w:rPr>
        <w:t xml:space="preserve">It submits that a </w:t>
      </w:r>
      <w:r w:rsidR="003B7A60" w:rsidRPr="00695D7A">
        <w:rPr>
          <w:rStyle w:val="st"/>
          <w:lang w:val="en-GB"/>
        </w:rPr>
        <w:t xml:space="preserve">conceptual improvement plan </w:t>
      </w:r>
      <w:r w:rsidR="00930211" w:rsidRPr="00695D7A">
        <w:rPr>
          <w:rStyle w:val="st"/>
          <w:lang w:val="en-GB"/>
        </w:rPr>
        <w:t xml:space="preserve">had to be prepared by the operator </w:t>
      </w:r>
      <w:r w:rsidR="00C17732" w:rsidRPr="00695D7A">
        <w:rPr>
          <w:rStyle w:val="st"/>
          <w:lang w:val="en-GB"/>
        </w:rPr>
        <w:t>for this purpose</w:t>
      </w:r>
      <w:r w:rsidR="008F6AC3" w:rsidRPr="00695D7A">
        <w:rPr>
          <w:rStyle w:val="st"/>
          <w:lang w:val="en-GB"/>
        </w:rPr>
        <w:t>. On the basis of this plan, the competent authority w</w:t>
      </w:r>
      <w:r w:rsidR="00061BD7" w:rsidRPr="001A20E3">
        <w:rPr>
          <w:rStyle w:val="st"/>
          <w:lang w:val="en-GB"/>
        </w:rPr>
        <w:t xml:space="preserve">ould </w:t>
      </w:r>
      <w:r w:rsidR="008F6AC3" w:rsidRPr="00695D7A">
        <w:rPr>
          <w:rStyle w:val="st"/>
          <w:lang w:val="en-GB"/>
        </w:rPr>
        <w:t>decide which measures ha</w:t>
      </w:r>
      <w:r w:rsidR="00061BD7" w:rsidRPr="001A20E3">
        <w:rPr>
          <w:rStyle w:val="st"/>
          <w:lang w:val="en-GB"/>
        </w:rPr>
        <w:t>d</w:t>
      </w:r>
      <w:r w:rsidR="008F6AC3" w:rsidRPr="00695D7A">
        <w:rPr>
          <w:rStyle w:val="st"/>
          <w:lang w:val="en-GB"/>
        </w:rPr>
        <w:t xml:space="preserve"> to be implemented by the NPP operator.</w:t>
      </w:r>
      <w:r w:rsidR="00930211" w:rsidRPr="00695D7A">
        <w:rPr>
          <w:rStyle w:val="st"/>
          <w:lang w:val="en-GB"/>
        </w:rPr>
        <w:t xml:space="preserve"> </w:t>
      </w:r>
      <w:r w:rsidR="008F6AC3" w:rsidRPr="00695D7A">
        <w:rPr>
          <w:rStyle w:val="st"/>
          <w:lang w:val="en-GB"/>
        </w:rPr>
        <w:t>If th</w:t>
      </w:r>
      <w:r w:rsidR="00061BD7" w:rsidRPr="001A20E3">
        <w:rPr>
          <w:rStyle w:val="st"/>
          <w:lang w:val="en-GB"/>
        </w:rPr>
        <w:t>o</w:t>
      </w:r>
      <w:r w:rsidR="008F6AC3" w:rsidRPr="00695D7A">
        <w:rPr>
          <w:rStyle w:val="st"/>
          <w:lang w:val="en-GB"/>
        </w:rPr>
        <w:t>se measures include</w:t>
      </w:r>
      <w:r w:rsidR="00061BD7" w:rsidRPr="001A20E3">
        <w:rPr>
          <w:rStyle w:val="st"/>
          <w:lang w:val="en-GB"/>
        </w:rPr>
        <w:t>d</w:t>
      </w:r>
      <w:r w:rsidR="003B7A60" w:rsidRPr="00695D7A">
        <w:rPr>
          <w:rStyle w:val="st"/>
          <w:lang w:val="en-GB"/>
        </w:rPr>
        <w:t xml:space="preserve"> measures for which an amendment of the </w:t>
      </w:r>
      <w:r w:rsidR="0046030A">
        <w:rPr>
          <w:rStyle w:val="st"/>
          <w:lang w:val="en-GB"/>
        </w:rPr>
        <w:t>licence</w:t>
      </w:r>
      <w:r w:rsidR="003B7A60" w:rsidRPr="00695D7A">
        <w:rPr>
          <w:rStyle w:val="st"/>
          <w:lang w:val="en-GB"/>
        </w:rPr>
        <w:t xml:space="preserve"> </w:t>
      </w:r>
      <w:r w:rsidR="008F6AC3" w:rsidRPr="00695D7A">
        <w:rPr>
          <w:rStyle w:val="st"/>
          <w:lang w:val="en-GB"/>
        </w:rPr>
        <w:t>would be</w:t>
      </w:r>
      <w:r w:rsidR="00930211" w:rsidRPr="00695D7A">
        <w:rPr>
          <w:rStyle w:val="st"/>
          <w:lang w:val="en-GB"/>
        </w:rPr>
        <w:t xml:space="preserve"> </w:t>
      </w:r>
      <w:r w:rsidR="003B7A60" w:rsidRPr="00695D7A">
        <w:rPr>
          <w:rStyle w:val="st"/>
          <w:lang w:val="en-GB"/>
        </w:rPr>
        <w:t xml:space="preserve">needed, a procedure according to Division 3.4 of the </w:t>
      </w:r>
      <w:r w:rsidR="00A96EE4" w:rsidRPr="00695D7A">
        <w:rPr>
          <w:rStyle w:val="st"/>
          <w:lang w:val="en-GB"/>
        </w:rPr>
        <w:t>General Administrative Law Act</w:t>
      </w:r>
      <w:r w:rsidR="003B7A60" w:rsidRPr="00695D7A">
        <w:rPr>
          <w:rStyle w:val="st"/>
          <w:lang w:val="en-GB"/>
        </w:rPr>
        <w:t xml:space="preserve">, including public participation and possibly an </w:t>
      </w:r>
      <w:r w:rsidR="00A96EE4" w:rsidRPr="00695D7A">
        <w:rPr>
          <w:rStyle w:val="st"/>
          <w:lang w:val="en-GB"/>
        </w:rPr>
        <w:t>environmental impact assessment</w:t>
      </w:r>
      <w:r w:rsidR="003B7A60" w:rsidRPr="00695D7A">
        <w:rPr>
          <w:rStyle w:val="st"/>
          <w:lang w:val="en-GB"/>
        </w:rPr>
        <w:t xml:space="preserve">, </w:t>
      </w:r>
      <w:r w:rsidR="00C17732" w:rsidRPr="00695D7A">
        <w:rPr>
          <w:rStyle w:val="st"/>
          <w:lang w:val="en-GB"/>
        </w:rPr>
        <w:t xml:space="preserve">would </w:t>
      </w:r>
      <w:r w:rsidR="008F6AC3" w:rsidRPr="00695D7A">
        <w:rPr>
          <w:rStyle w:val="st"/>
          <w:lang w:val="en-GB"/>
        </w:rPr>
        <w:t>follow</w:t>
      </w:r>
      <w:r w:rsidR="003B7A60" w:rsidRPr="00695D7A">
        <w:rPr>
          <w:rStyle w:val="st"/>
          <w:lang w:val="en-GB"/>
        </w:rPr>
        <w:t>.</w:t>
      </w:r>
      <w:r w:rsidR="0063153F" w:rsidRPr="00695D7A">
        <w:rPr>
          <w:rStyle w:val="FootnoteReference"/>
          <w:lang w:val="en-GB"/>
        </w:rPr>
        <w:footnoteReference w:id="74"/>
      </w:r>
    </w:p>
    <w:p w:rsidR="00DB5CC9" w:rsidRPr="001A20E3" w:rsidRDefault="00DB5CC9" w:rsidP="00A734E7">
      <w:pPr>
        <w:pStyle w:val="SingleTxtG"/>
        <w:tabs>
          <w:tab w:val="left" w:pos="1134"/>
          <w:tab w:val="num" w:pos="1701"/>
        </w:tabs>
        <w:ind w:right="0"/>
        <w:rPr>
          <w:rStyle w:val="st"/>
          <w:lang w:val="en-GB"/>
        </w:rPr>
      </w:pPr>
    </w:p>
    <w:p w:rsidR="00816F95" w:rsidRPr="00695D7A" w:rsidRDefault="00816F95" w:rsidP="00816F95">
      <w:pPr>
        <w:pStyle w:val="HChG"/>
        <w:numPr>
          <w:ilvl w:val="0"/>
          <w:numId w:val="6"/>
        </w:numPr>
        <w:ind w:right="0"/>
      </w:pPr>
      <w:r w:rsidRPr="00695D7A">
        <w:t>Consideration and evaluation by the Committee</w:t>
      </w:r>
    </w:p>
    <w:p w:rsidR="00816F95" w:rsidRPr="00695D7A" w:rsidRDefault="00816F95" w:rsidP="007D2CD1">
      <w:pPr>
        <w:pStyle w:val="SingleTxtG"/>
        <w:numPr>
          <w:ilvl w:val="0"/>
          <w:numId w:val="3"/>
        </w:numPr>
        <w:tabs>
          <w:tab w:val="clear" w:pos="1711"/>
          <w:tab w:val="left" w:pos="1701"/>
        </w:tabs>
        <w:ind w:left="1134" w:right="0" w:firstLine="0"/>
        <w:rPr>
          <w:rStyle w:val="st"/>
          <w:lang w:val="en-GB"/>
        </w:rPr>
      </w:pPr>
      <w:r w:rsidRPr="00695D7A">
        <w:rPr>
          <w:rStyle w:val="st"/>
          <w:lang w:val="en-GB"/>
        </w:rPr>
        <w:t>The Netherlands ratified the Convention on</w:t>
      </w:r>
      <w:r w:rsidRPr="00695D7A">
        <w:rPr>
          <w:lang w:val="en-GB"/>
        </w:rPr>
        <w:t xml:space="preserve"> </w:t>
      </w:r>
      <w:r w:rsidRPr="00695D7A">
        <w:rPr>
          <w:rStyle w:val="st"/>
          <w:lang w:val="en-GB"/>
        </w:rPr>
        <w:t>29 December 2004. The Convention entered into force for the Netherlands on 29 March 2005, being ninety days after the deposit of its instrument of ratification.</w:t>
      </w:r>
    </w:p>
    <w:p w:rsidR="00F87A46" w:rsidRDefault="00F87A46" w:rsidP="00695D7A">
      <w:pPr>
        <w:pStyle w:val="SingleTxtG"/>
        <w:ind w:right="0"/>
        <w:rPr>
          <w:rStyle w:val="st"/>
          <w:b/>
          <w:lang w:val="en-GB"/>
        </w:rPr>
      </w:pPr>
    </w:p>
    <w:p w:rsidR="00382F93" w:rsidRPr="00695D7A" w:rsidRDefault="00382F93" w:rsidP="00695D7A">
      <w:pPr>
        <w:pStyle w:val="SingleTxtG"/>
        <w:ind w:right="0"/>
        <w:rPr>
          <w:rStyle w:val="st"/>
          <w:b/>
          <w:lang w:val="en-GB"/>
        </w:rPr>
      </w:pPr>
      <w:r w:rsidRPr="00695D7A">
        <w:rPr>
          <w:rStyle w:val="st"/>
          <w:b/>
          <w:lang w:val="en-GB"/>
        </w:rPr>
        <w:t>Admissibility and request for deferral</w:t>
      </w:r>
    </w:p>
    <w:p w:rsidR="007B3257" w:rsidRPr="00695D7A" w:rsidRDefault="007B3257" w:rsidP="007D2CD1">
      <w:pPr>
        <w:pStyle w:val="SingleTxtG"/>
        <w:numPr>
          <w:ilvl w:val="0"/>
          <w:numId w:val="3"/>
        </w:numPr>
        <w:tabs>
          <w:tab w:val="clear" w:pos="1711"/>
          <w:tab w:val="left" w:pos="1701"/>
        </w:tabs>
        <w:ind w:left="1134" w:right="0" w:firstLine="0"/>
        <w:rPr>
          <w:rStyle w:val="st"/>
          <w:lang w:val="en-GB"/>
        </w:rPr>
      </w:pPr>
      <w:r w:rsidRPr="00695D7A">
        <w:rPr>
          <w:rStyle w:val="st"/>
          <w:lang w:val="en-GB"/>
        </w:rPr>
        <w:t>The Committee notes that the communicant unsuccessfully sought to challenge the 18 March 2013 decision before the Council of State</w:t>
      </w:r>
      <w:r w:rsidR="007E5AD3" w:rsidRPr="00695D7A">
        <w:rPr>
          <w:rStyle w:val="st"/>
          <w:lang w:val="en-GB"/>
        </w:rPr>
        <w:t xml:space="preserve"> (see para. </w:t>
      </w:r>
      <w:r w:rsidR="007E5AD3" w:rsidRPr="00695D7A">
        <w:rPr>
          <w:rStyle w:val="st"/>
          <w:lang w:val="en-GB"/>
        </w:rPr>
        <w:fldChar w:fldCharType="begin"/>
      </w:r>
      <w:r w:rsidR="007E5AD3" w:rsidRPr="00695D7A">
        <w:rPr>
          <w:rStyle w:val="st"/>
          <w:lang w:val="en-GB"/>
        </w:rPr>
        <w:instrText xml:space="preserve"> REF _Ref499400654 \r \h </w:instrText>
      </w:r>
      <w:r w:rsidR="00382F93" w:rsidRPr="001A20E3">
        <w:rPr>
          <w:rStyle w:val="st"/>
          <w:lang w:val="en-GB"/>
        </w:rPr>
        <w:instrText xml:space="preserve"> \* MERGEFORMAT </w:instrText>
      </w:r>
      <w:r w:rsidR="007E5AD3" w:rsidRPr="00695D7A">
        <w:rPr>
          <w:rStyle w:val="st"/>
          <w:lang w:val="en-GB"/>
        </w:rPr>
      </w:r>
      <w:r w:rsidR="007E5AD3" w:rsidRPr="00695D7A">
        <w:rPr>
          <w:rStyle w:val="st"/>
          <w:lang w:val="en-GB"/>
        </w:rPr>
        <w:fldChar w:fldCharType="separate"/>
      </w:r>
      <w:r w:rsidR="0056000C">
        <w:rPr>
          <w:rStyle w:val="st"/>
          <w:cs/>
          <w:lang w:val="en-GB"/>
        </w:rPr>
        <w:t>‎</w:t>
      </w:r>
      <w:r w:rsidR="0056000C">
        <w:rPr>
          <w:rStyle w:val="st"/>
          <w:lang w:val="en-GB"/>
        </w:rPr>
        <w:t>32</w:t>
      </w:r>
      <w:r w:rsidR="007E5AD3" w:rsidRPr="00695D7A">
        <w:rPr>
          <w:rStyle w:val="st"/>
          <w:lang w:val="en-GB"/>
        </w:rPr>
        <w:fldChar w:fldCharType="end"/>
      </w:r>
      <w:r w:rsidR="007E5AD3" w:rsidRPr="00695D7A">
        <w:rPr>
          <w:rStyle w:val="st"/>
          <w:lang w:val="en-GB"/>
        </w:rPr>
        <w:t xml:space="preserve"> above)</w:t>
      </w:r>
      <w:r w:rsidRPr="00695D7A">
        <w:rPr>
          <w:rStyle w:val="st"/>
          <w:lang w:val="en-GB"/>
        </w:rPr>
        <w:t xml:space="preserve">. The Committee </w:t>
      </w:r>
      <w:r w:rsidR="004B57E5">
        <w:rPr>
          <w:rStyle w:val="st"/>
          <w:lang w:val="en-GB"/>
        </w:rPr>
        <w:t>also</w:t>
      </w:r>
      <w:r w:rsidRPr="00695D7A">
        <w:rPr>
          <w:rStyle w:val="st"/>
          <w:lang w:val="en-GB"/>
        </w:rPr>
        <w:t xml:space="preserve"> </w:t>
      </w:r>
      <w:r w:rsidR="00382F93" w:rsidRPr="00695D7A">
        <w:rPr>
          <w:rStyle w:val="st"/>
          <w:lang w:val="en-GB"/>
        </w:rPr>
        <w:t>notes</w:t>
      </w:r>
      <w:r w:rsidRPr="00695D7A">
        <w:rPr>
          <w:rStyle w:val="st"/>
          <w:lang w:val="en-GB"/>
        </w:rPr>
        <w:t xml:space="preserve"> the communicant’s submission that no further domestic remedies were available and that the Party concerned has not challenged the admissibility of the communication on this ground.</w:t>
      </w:r>
      <w:r w:rsidR="006A0DCD" w:rsidRPr="00695D7A">
        <w:rPr>
          <w:rStyle w:val="st"/>
          <w:lang w:val="en-GB"/>
        </w:rPr>
        <w:t xml:space="preserve"> The Committee therefore finds the communication to be admissible.</w:t>
      </w:r>
    </w:p>
    <w:p w:rsidR="007B3257" w:rsidRPr="00695D7A" w:rsidRDefault="00382F93" w:rsidP="007B3257">
      <w:pPr>
        <w:pStyle w:val="SingleTxtG"/>
        <w:numPr>
          <w:ilvl w:val="0"/>
          <w:numId w:val="3"/>
        </w:numPr>
        <w:tabs>
          <w:tab w:val="clear" w:pos="1711"/>
          <w:tab w:val="left" w:pos="1701"/>
        </w:tabs>
        <w:ind w:left="1134" w:right="0" w:firstLine="0"/>
        <w:rPr>
          <w:rStyle w:val="st"/>
          <w:lang w:val="en-GB"/>
        </w:rPr>
      </w:pPr>
      <w:r w:rsidRPr="00695D7A">
        <w:rPr>
          <w:rStyle w:val="st"/>
          <w:lang w:val="en-GB"/>
        </w:rPr>
        <w:t xml:space="preserve">With respect to the request by the </w:t>
      </w:r>
      <w:r w:rsidR="007B3257" w:rsidRPr="00695D7A">
        <w:rPr>
          <w:rStyle w:val="st"/>
          <w:lang w:val="en-GB"/>
        </w:rPr>
        <w:t xml:space="preserve">Party concerned </w:t>
      </w:r>
      <w:r w:rsidRPr="00695D7A">
        <w:rPr>
          <w:rStyle w:val="st"/>
          <w:lang w:val="en-GB"/>
        </w:rPr>
        <w:t>for</w:t>
      </w:r>
      <w:r w:rsidR="007B3257" w:rsidRPr="00695D7A">
        <w:rPr>
          <w:rStyle w:val="st"/>
          <w:lang w:val="en-GB"/>
        </w:rPr>
        <w:t xml:space="preserve"> a deferral of the </w:t>
      </w:r>
      <w:r w:rsidRPr="00695D7A">
        <w:rPr>
          <w:rStyle w:val="st"/>
          <w:lang w:val="en-GB"/>
        </w:rPr>
        <w:t xml:space="preserve">Committee’s </w:t>
      </w:r>
      <w:r w:rsidR="007B3257" w:rsidRPr="00695D7A">
        <w:rPr>
          <w:rStyle w:val="st"/>
          <w:lang w:val="en-GB"/>
        </w:rPr>
        <w:t xml:space="preserve">consideration of the communication </w:t>
      </w:r>
      <w:r w:rsidRPr="00695D7A">
        <w:rPr>
          <w:rStyle w:val="st"/>
          <w:lang w:val="en-GB"/>
        </w:rPr>
        <w:t>in the light</w:t>
      </w:r>
      <w:r w:rsidR="007B3257" w:rsidRPr="00695D7A">
        <w:rPr>
          <w:rStyle w:val="st"/>
          <w:lang w:val="en-GB"/>
        </w:rPr>
        <w:t xml:space="preserve"> of </w:t>
      </w:r>
      <w:r w:rsidRPr="00695D7A">
        <w:rPr>
          <w:rStyle w:val="st"/>
          <w:lang w:val="en-GB"/>
        </w:rPr>
        <w:t xml:space="preserve">the </w:t>
      </w:r>
      <w:r w:rsidR="007B3257" w:rsidRPr="00695D7A">
        <w:rPr>
          <w:rStyle w:val="st"/>
          <w:lang w:val="en-GB"/>
        </w:rPr>
        <w:t xml:space="preserve">ongoing parallel investigation before the Espoo </w:t>
      </w:r>
      <w:r w:rsidRPr="00695D7A">
        <w:rPr>
          <w:rStyle w:val="st"/>
          <w:lang w:val="en-GB"/>
        </w:rPr>
        <w:t xml:space="preserve">Convention </w:t>
      </w:r>
      <w:r w:rsidR="007B3257" w:rsidRPr="00695D7A">
        <w:rPr>
          <w:rStyle w:val="st"/>
          <w:lang w:val="en-GB"/>
        </w:rPr>
        <w:t xml:space="preserve">Implementation Committee (see para. </w:t>
      </w:r>
      <w:r w:rsidR="006A0DCD" w:rsidRPr="00695D7A">
        <w:rPr>
          <w:rStyle w:val="st"/>
          <w:lang w:val="en-GB"/>
        </w:rPr>
        <w:fldChar w:fldCharType="begin"/>
      </w:r>
      <w:r w:rsidR="006A0DCD" w:rsidRPr="00695D7A">
        <w:rPr>
          <w:rStyle w:val="st"/>
          <w:lang w:val="en-GB"/>
        </w:rPr>
        <w:instrText xml:space="preserve"> REF _Ref499217150 \r \h </w:instrText>
      </w:r>
      <w:r w:rsidRPr="00695D7A">
        <w:rPr>
          <w:rStyle w:val="st"/>
          <w:lang w:val="en-GB"/>
        </w:rPr>
        <w:instrText xml:space="preserve"> \* MERGEFORMAT </w:instrText>
      </w:r>
      <w:r w:rsidR="006A0DCD" w:rsidRPr="00695D7A">
        <w:rPr>
          <w:rStyle w:val="st"/>
          <w:lang w:val="en-GB"/>
        </w:rPr>
      </w:r>
      <w:r w:rsidR="006A0DCD" w:rsidRPr="00695D7A">
        <w:rPr>
          <w:rStyle w:val="st"/>
          <w:lang w:val="en-GB"/>
        </w:rPr>
        <w:fldChar w:fldCharType="separate"/>
      </w:r>
      <w:r w:rsidR="0056000C">
        <w:rPr>
          <w:rStyle w:val="st"/>
          <w:cs/>
          <w:lang w:val="en-GB"/>
        </w:rPr>
        <w:t>‎</w:t>
      </w:r>
      <w:r w:rsidR="0056000C">
        <w:rPr>
          <w:rStyle w:val="st"/>
          <w:lang w:val="en-GB"/>
        </w:rPr>
        <w:t>34</w:t>
      </w:r>
      <w:r w:rsidR="006A0DCD" w:rsidRPr="00695D7A">
        <w:rPr>
          <w:rStyle w:val="st"/>
          <w:lang w:val="en-GB"/>
        </w:rPr>
        <w:fldChar w:fldCharType="end"/>
      </w:r>
      <w:r w:rsidR="006A0DCD" w:rsidRPr="00695D7A">
        <w:rPr>
          <w:rStyle w:val="st"/>
          <w:lang w:val="en-GB"/>
        </w:rPr>
        <w:t xml:space="preserve"> </w:t>
      </w:r>
      <w:r w:rsidR="007B3257" w:rsidRPr="00695D7A">
        <w:rPr>
          <w:rStyle w:val="st"/>
          <w:lang w:val="en-GB"/>
        </w:rPr>
        <w:t>above)</w:t>
      </w:r>
      <w:r w:rsidRPr="00695D7A">
        <w:rPr>
          <w:rStyle w:val="st"/>
          <w:lang w:val="en-GB"/>
        </w:rPr>
        <w:t>,</w:t>
      </w:r>
      <w:r w:rsidR="006A0DCD" w:rsidRPr="00695D7A">
        <w:rPr>
          <w:rStyle w:val="st"/>
          <w:lang w:val="en-GB"/>
        </w:rPr>
        <w:t xml:space="preserve"> the present case concerns claims under the Aarhus Convention which are independent of whether a duty to conduct a</w:t>
      </w:r>
      <w:r w:rsidRPr="00695D7A">
        <w:rPr>
          <w:rStyle w:val="st"/>
          <w:lang w:val="en-GB"/>
        </w:rPr>
        <w:t xml:space="preserve"> transboundary</w:t>
      </w:r>
      <w:r w:rsidR="006A0DCD" w:rsidRPr="00695D7A">
        <w:rPr>
          <w:rStyle w:val="st"/>
          <w:lang w:val="en-GB"/>
        </w:rPr>
        <w:t xml:space="preserve"> environmental impact assessment was required under the Espoo Convention. The Committee therefore considers that there </w:t>
      </w:r>
      <w:r w:rsidR="00B863BD" w:rsidRPr="00695D7A">
        <w:rPr>
          <w:rStyle w:val="st"/>
          <w:lang w:val="en-GB"/>
        </w:rPr>
        <w:t>is</w:t>
      </w:r>
      <w:r w:rsidR="006A0DCD" w:rsidRPr="00695D7A">
        <w:rPr>
          <w:rStyle w:val="st"/>
          <w:lang w:val="en-GB"/>
        </w:rPr>
        <w:t xml:space="preserve"> no need to defer consideration of this communication.</w:t>
      </w:r>
    </w:p>
    <w:p w:rsidR="000342C4" w:rsidRPr="001A20E3" w:rsidRDefault="000342C4" w:rsidP="00C65A0B">
      <w:pPr>
        <w:pStyle w:val="SingleTxtG"/>
        <w:ind w:left="1560" w:hanging="426"/>
        <w:rPr>
          <w:rStyle w:val="st"/>
          <w:lang w:val="en-GB"/>
        </w:rPr>
      </w:pPr>
    </w:p>
    <w:p w:rsidR="00023283" w:rsidRPr="001A20E3" w:rsidRDefault="00023283" w:rsidP="00715FCC">
      <w:pPr>
        <w:pStyle w:val="SingleTxtG"/>
        <w:ind w:left="1560" w:hanging="426"/>
        <w:rPr>
          <w:b/>
          <w:lang w:val="en-GB"/>
        </w:rPr>
      </w:pPr>
      <w:r w:rsidRPr="00695D7A">
        <w:rPr>
          <w:b/>
          <w:lang w:val="en-GB"/>
        </w:rPr>
        <w:t>Article 6, paragraph 10</w:t>
      </w:r>
      <w:r w:rsidR="009B23FF" w:rsidRPr="00695D7A">
        <w:rPr>
          <w:b/>
          <w:lang w:val="en-GB"/>
        </w:rPr>
        <w:t>,</w:t>
      </w:r>
      <w:r w:rsidRPr="00695D7A">
        <w:rPr>
          <w:b/>
          <w:lang w:val="en-GB"/>
        </w:rPr>
        <w:t xml:space="preserve"> of the Convention</w:t>
      </w:r>
    </w:p>
    <w:p w:rsidR="007B0E21" w:rsidRPr="00695D7A" w:rsidRDefault="007B0E21" w:rsidP="00715FCC">
      <w:pPr>
        <w:pStyle w:val="SingleTxtG"/>
        <w:ind w:left="1560" w:hanging="426"/>
        <w:rPr>
          <w:i/>
          <w:lang w:val="en-GB"/>
        </w:rPr>
      </w:pPr>
      <w:r w:rsidRPr="001A20E3">
        <w:rPr>
          <w:i/>
          <w:lang w:val="en-GB"/>
        </w:rPr>
        <w:t>Reconsideration or update of operating conditions</w:t>
      </w:r>
    </w:p>
    <w:p w:rsidR="007E460F" w:rsidRPr="001A20E3" w:rsidRDefault="00023283" w:rsidP="0054177F">
      <w:pPr>
        <w:pStyle w:val="SingleTxtG"/>
        <w:numPr>
          <w:ilvl w:val="0"/>
          <w:numId w:val="3"/>
        </w:numPr>
        <w:ind w:left="1134" w:right="0" w:firstLine="0"/>
        <w:rPr>
          <w:lang w:val="en-GB"/>
        </w:rPr>
      </w:pPr>
      <w:r w:rsidRPr="001A20E3">
        <w:rPr>
          <w:rStyle w:val="st"/>
          <w:lang w:val="en-GB"/>
        </w:rPr>
        <w:t>The</w:t>
      </w:r>
      <w:r w:rsidR="00A857CD" w:rsidRPr="001A20E3">
        <w:rPr>
          <w:rStyle w:val="st"/>
          <w:lang w:val="en-GB"/>
        </w:rPr>
        <w:t xml:space="preserve"> Committee notes that </w:t>
      </w:r>
      <w:r w:rsidR="00BD5DA7" w:rsidRPr="001A20E3">
        <w:rPr>
          <w:rStyle w:val="st"/>
          <w:lang w:val="en-GB"/>
        </w:rPr>
        <w:t>neither</w:t>
      </w:r>
      <w:r w:rsidR="00A857CD" w:rsidRPr="001A20E3">
        <w:rPr>
          <w:rStyle w:val="st"/>
          <w:lang w:val="en-GB"/>
        </w:rPr>
        <w:t xml:space="preserve"> the</w:t>
      </w:r>
      <w:r w:rsidRPr="001A20E3">
        <w:rPr>
          <w:rStyle w:val="st"/>
          <w:lang w:val="en-GB"/>
        </w:rPr>
        <w:t xml:space="preserve"> communicant </w:t>
      </w:r>
      <w:r w:rsidR="00BD5DA7" w:rsidRPr="001A20E3">
        <w:rPr>
          <w:rStyle w:val="st"/>
          <w:lang w:val="en-GB"/>
        </w:rPr>
        <w:t xml:space="preserve">nor </w:t>
      </w:r>
      <w:r w:rsidRPr="001A20E3">
        <w:rPr>
          <w:rStyle w:val="st"/>
          <w:lang w:val="en-GB"/>
        </w:rPr>
        <w:t xml:space="preserve">the Party concerned exclude the possibility </w:t>
      </w:r>
      <w:r w:rsidR="009B23FF" w:rsidRPr="001A20E3">
        <w:rPr>
          <w:rStyle w:val="st"/>
          <w:lang w:val="en-GB"/>
        </w:rPr>
        <w:t xml:space="preserve">that </w:t>
      </w:r>
      <w:r w:rsidRPr="001A20E3">
        <w:rPr>
          <w:rStyle w:val="st"/>
          <w:lang w:val="en-GB"/>
        </w:rPr>
        <w:t>art</w:t>
      </w:r>
      <w:r w:rsidR="009B23FF" w:rsidRPr="001A20E3">
        <w:rPr>
          <w:rStyle w:val="st"/>
          <w:lang w:val="en-GB"/>
        </w:rPr>
        <w:t xml:space="preserve">icle </w:t>
      </w:r>
      <w:r w:rsidRPr="001A20E3">
        <w:rPr>
          <w:rStyle w:val="st"/>
          <w:lang w:val="en-GB"/>
        </w:rPr>
        <w:t>6, paragraph 10</w:t>
      </w:r>
      <w:r w:rsidR="009B23FF" w:rsidRPr="001A20E3">
        <w:rPr>
          <w:rStyle w:val="st"/>
          <w:lang w:val="en-GB"/>
        </w:rPr>
        <w:t>,</w:t>
      </w:r>
      <w:r w:rsidRPr="001A20E3">
        <w:rPr>
          <w:rStyle w:val="st"/>
          <w:lang w:val="en-GB"/>
        </w:rPr>
        <w:t xml:space="preserve"> of the Convention </w:t>
      </w:r>
      <w:r w:rsidR="00B4439F">
        <w:rPr>
          <w:rStyle w:val="st"/>
          <w:lang w:val="en-GB"/>
        </w:rPr>
        <w:t>could</w:t>
      </w:r>
      <w:r w:rsidR="009B23FF" w:rsidRPr="001A20E3">
        <w:rPr>
          <w:rStyle w:val="st"/>
          <w:lang w:val="en-GB"/>
        </w:rPr>
        <w:t xml:space="preserve"> </w:t>
      </w:r>
      <w:r w:rsidR="00B4439F">
        <w:rPr>
          <w:rStyle w:val="st"/>
          <w:lang w:val="en-GB"/>
        </w:rPr>
        <w:t xml:space="preserve">potentially </w:t>
      </w:r>
      <w:r w:rsidR="00BD5DA7" w:rsidRPr="001A20E3">
        <w:rPr>
          <w:rStyle w:val="st"/>
          <w:lang w:val="en-GB"/>
        </w:rPr>
        <w:t>apply</w:t>
      </w:r>
      <w:r w:rsidRPr="001A20E3">
        <w:rPr>
          <w:rStyle w:val="st"/>
          <w:lang w:val="en-GB"/>
        </w:rPr>
        <w:t xml:space="preserve"> to the </w:t>
      </w:r>
      <w:r w:rsidR="0038042A" w:rsidRPr="001A20E3">
        <w:rPr>
          <w:rStyle w:val="st"/>
          <w:lang w:val="en-GB"/>
        </w:rPr>
        <w:t>licence</w:t>
      </w:r>
      <w:r w:rsidR="0038042A" w:rsidRPr="001A20E3">
        <w:rPr>
          <w:lang w:val="en-GB"/>
        </w:rPr>
        <w:t xml:space="preserve"> </w:t>
      </w:r>
      <w:r w:rsidRPr="001A20E3">
        <w:rPr>
          <w:lang w:val="en-GB"/>
        </w:rPr>
        <w:t xml:space="preserve">to extend the </w:t>
      </w:r>
      <w:r w:rsidR="0038042A" w:rsidRPr="001A20E3">
        <w:rPr>
          <w:lang w:val="en-GB"/>
        </w:rPr>
        <w:t>design lifetime</w:t>
      </w:r>
      <w:r w:rsidRPr="001A20E3">
        <w:rPr>
          <w:lang w:val="en-GB"/>
        </w:rPr>
        <w:t xml:space="preserve"> of the Borssele NPP</w:t>
      </w:r>
      <w:r w:rsidR="007E460F" w:rsidRPr="001A20E3">
        <w:rPr>
          <w:lang w:val="en-GB"/>
        </w:rPr>
        <w:t xml:space="preserve">, though the Party concerned submits that there was no update in the operating conditions in the present case </w:t>
      </w:r>
      <w:r w:rsidR="007E460F" w:rsidRPr="001A20E3">
        <w:rPr>
          <w:rStyle w:val="st"/>
          <w:lang w:val="en-GB"/>
        </w:rPr>
        <w:t xml:space="preserve">because </w:t>
      </w:r>
      <w:r w:rsidR="007E460F" w:rsidRPr="00695D7A">
        <w:rPr>
          <w:rStyle w:val="st"/>
          <w:lang w:val="en-GB"/>
        </w:rPr>
        <w:t xml:space="preserve">the initial </w:t>
      </w:r>
      <w:r w:rsidR="0046030A">
        <w:rPr>
          <w:rStyle w:val="st"/>
          <w:lang w:val="en-GB"/>
        </w:rPr>
        <w:t>licence</w:t>
      </w:r>
      <w:r w:rsidR="007E460F" w:rsidRPr="00695D7A">
        <w:rPr>
          <w:rStyle w:val="st"/>
          <w:lang w:val="en-GB"/>
        </w:rPr>
        <w:t xml:space="preserve"> of 1973 was valid for an indefinite period</w:t>
      </w:r>
      <w:r w:rsidR="007E460F" w:rsidRPr="001A20E3">
        <w:rPr>
          <w:rStyle w:val="FootnoteReference"/>
          <w:lang w:val="en-GB"/>
        </w:rPr>
        <w:footnoteReference w:id="75"/>
      </w:r>
      <w:r w:rsidR="007E460F" w:rsidRPr="001A20E3">
        <w:rPr>
          <w:rStyle w:val="st"/>
          <w:lang w:val="en-GB"/>
        </w:rPr>
        <w:t xml:space="preserve"> and </w:t>
      </w:r>
      <w:r w:rsidR="00B4439F">
        <w:rPr>
          <w:rStyle w:val="st"/>
          <w:lang w:val="en-GB"/>
        </w:rPr>
        <w:t>the</w:t>
      </w:r>
      <w:r w:rsidR="007E460F" w:rsidRPr="001A20E3">
        <w:rPr>
          <w:lang w:val="en-US"/>
        </w:rPr>
        <w:t xml:space="preserve"> </w:t>
      </w:r>
      <w:r w:rsidR="007E460F" w:rsidRPr="00695D7A">
        <w:t>operating limits and conditions and the technical parameters of the Borssele NPP did not change</w:t>
      </w:r>
      <w:r w:rsidR="007E460F" w:rsidRPr="001A20E3">
        <w:rPr>
          <w:lang w:val="en-GB"/>
        </w:rPr>
        <w:t>.</w:t>
      </w:r>
      <w:r w:rsidR="007E460F" w:rsidRPr="001A20E3">
        <w:rPr>
          <w:rStyle w:val="FootnoteReference"/>
          <w:lang w:val="en-GB"/>
        </w:rPr>
        <w:footnoteReference w:id="76"/>
      </w:r>
      <w:r w:rsidR="007E460F" w:rsidRPr="001A20E3">
        <w:rPr>
          <w:lang w:val="en-GB"/>
        </w:rPr>
        <w:t xml:space="preserve"> </w:t>
      </w:r>
    </w:p>
    <w:p w:rsidR="00B8396F" w:rsidRPr="007A5C94" w:rsidRDefault="006064CA" w:rsidP="0054177F">
      <w:pPr>
        <w:pStyle w:val="SingleTxtG"/>
        <w:numPr>
          <w:ilvl w:val="0"/>
          <w:numId w:val="3"/>
        </w:numPr>
        <w:ind w:left="1134" w:right="0" w:firstLine="0"/>
        <w:rPr>
          <w:lang w:val="en-GB"/>
        </w:rPr>
      </w:pPr>
      <w:r w:rsidRPr="001A20E3">
        <w:rPr>
          <w:rStyle w:val="st"/>
          <w:lang w:val="en-GB"/>
        </w:rPr>
        <w:t>T</w:t>
      </w:r>
      <w:r w:rsidR="00B8396F" w:rsidRPr="001A20E3">
        <w:rPr>
          <w:rStyle w:val="st"/>
          <w:lang w:val="en-GB"/>
        </w:rPr>
        <w:t xml:space="preserve">he Committee cannot agree with the position of the Party concerned that the </w:t>
      </w:r>
      <w:r w:rsidR="00B4439F">
        <w:rPr>
          <w:rStyle w:val="st"/>
          <w:lang w:val="en-GB"/>
        </w:rPr>
        <w:t xml:space="preserve">fact that </w:t>
      </w:r>
      <w:r w:rsidR="00B8396F" w:rsidRPr="001A20E3">
        <w:rPr>
          <w:rStyle w:val="st"/>
          <w:lang w:val="en-GB"/>
        </w:rPr>
        <w:t xml:space="preserve">1973 </w:t>
      </w:r>
      <w:r w:rsidR="0046030A">
        <w:rPr>
          <w:rStyle w:val="st"/>
          <w:lang w:val="en-GB"/>
        </w:rPr>
        <w:t>licence</w:t>
      </w:r>
      <w:r w:rsidR="00B8396F" w:rsidRPr="001A20E3">
        <w:rPr>
          <w:rStyle w:val="st"/>
          <w:lang w:val="en-GB"/>
        </w:rPr>
        <w:t xml:space="preserve"> was </w:t>
      </w:r>
      <w:r w:rsidRPr="001A20E3">
        <w:rPr>
          <w:rStyle w:val="st"/>
          <w:lang w:val="en-GB"/>
        </w:rPr>
        <w:t>for a</w:t>
      </w:r>
      <w:r w:rsidR="004E7F7F">
        <w:rPr>
          <w:rStyle w:val="st"/>
          <w:lang w:val="en-GB"/>
        </w:rPr>
        <w:t>n</w:t>
      </w:r>
      <w:r w:rsidR="00B8396F" w:rsidRPr="001A20E3">
        <w:rPr>
          <w:rStyle w:val="st"/>
          <w:lang w:val="en-GB"/>
        </w:rPr>
        <w:t xml:space="preserve"> “indefinite” </w:t>
      </w:r>
      <w:r w:rsidRPr="001A20E3">
        <w:rPr>
          <w:rStyle w:val="st"/>
          <w:lang w:val="en-GB"/>
        </w:rPr>
        <w:t>period</w:t>
      </w:r>
      <w:r w:rsidR="00B4439F">
        <w:rPr>
          <w:rStyle w:val="st"/>
          <w:lang w:val="en-GB"/>
        </w:rPr>
        <w:t xml:space="preserve"> means that the decision to extend the design lifetime until 2033 was not a change in the NPP’s operating conditions. </w:t>
      </w:r>
      <w:r w:rsidR="004B57E5">
        <w:rPr>
          <w:rStyle w:val="st"/>
          <w:lang w:val="en-GB"/>
        </w:rPr>
        <w:t xml:space="preserve">Indeed, </w:t>
      </w:r>
      <w:r w:rsidR="00B8396F" w:rsidRPr="001A20E3">
        <w:rPr>
          <w:rStyle w:val="st"/>
          <w:lang w:val="en-GB"/>
        </w:rPr>
        <w:t xml:space="preserve">the Party </w:t>
      </w:r>
      <w:r w:rsidR="00B8396F" w:rsidRPr="00A77216">
        <w:rPr>
          <w:rStyle w:val="st"/>
          <w:lang w:val="en-GB"/>
        </w:rPr>
        <w:t>concerned itself states: “</w:t>
      </w:r>
      <w:r w:rsidR="00B8396F" w:rsidRPr="00A77216">
        <w:t>At the time of the original design and construction of the Borssele NPP, it was assumed that it would have a design lifetime of 40 years, i.e. until 2014</w:t>
      </w:r>
      <w:r w:rsidR="00B8396F" w:rsidRPr="00A77216">
        <w:rPr>
          <w:lang w:val="en-US"/>
        </w:rPr>
        <w:t>.”</w:t>
      </w:r>
      <w:r w:rsidR="00D516FE" w:rsidRPr="00A77216">
        <w:rPr>
          <w:rStyle w:val="FootnoteReference"/>
          <w:lang w:val="en-US"/>
        </w:rPr>
        <w:footnoteReference w:id="77"/>
      </w:r>
      <w:r w:rsidR="00B8396F" w:rsidRPr="00A77216">
        <w:rPr>
          <w:lang w:val="en-US"/>
        </w:rPr>
        <w:t xml:space="preserve"> </w:t>
      </w:r>
      <w:r w:rsidR="00B7551F">
        <w:rPr>
          <w:lang w:val="en-US"/>
        </w:rPr>
        <w:t xml:space="preserve">It is </w:t>
      </w:r>
      <w:r w:rsidR="001F3962">
        <w:rPr>
          <w:lang w:val="en-US"/>
        </w:rPr>
        <w:t xml:space="preserve">also </w:t>
      </w:r>
      <w:r w:rsidR="00B7551F">
        <w:rPr>
          <w:lang w:val="en-US"/>
        </w:rPr>
        <w:t>clear from the licence documentation that, w</w:t>
      </w:r>
      <w:r w:rsidR="00496C12" w:rsidRPr="00A77216">
        <w:rPr>
          <w:lang w:val="en-US"/>
        </w:rPr>
        <w:t>ithout the 18 March 2013</w:t>
      </w:r>
      <w:r w:rsidR="00CA2D74" w:rsidRPr="00A77216">
        <w:rPr>
          <w:lang w:val="en-US"/>
        </w:rPr>
        <w:t xml:space="preserve"> </w:t>
      </w:r>
      <w:r w:rsidR="00225F25" w:rsidRPr="00A77216">
        <w:rPr>
          <w:lang w:val="en-US"/>
        </w:rPr>
        <w:t>licen</w:t>
      </w:r>
      <w:r w:rsidR="00B96707" w:rsidRPr="00A77216">
        <w:rPr>
          <w:lang w:val="en-US"/>
        </w:rPr>
        <w:t>c</w:t>
      </w:r>
      <w:r w:rsidR="00225F25" w:rsidRPr="00A77216">
        <w:rPr>
          <w:lang w:val="en-US"/>
        </w:rPr>
        <w:t>e</w:t>
      </w:r>
      <w:r w:rsidR="00496C12" w:rsidRPr="00A77216">
        <w:rPr>
          <w:lang w:val="en-US"/>
        </w:rPr>
        <w:t xml:space="preserve">, the NPP was </w:t>
      </w:r>
      <w:r w:rsidR="00B8396F" w:rsidRPr="00A77216">
        <w:rPr>
          <w:lang w:val="en-US"/>
        </w:rPr>
        <w:t>not permitted to operate beyond 2014.</w:t>
      </w:r>
      <w:r w:rsidR="00496C12" w:rsidRPr="00A77216">
        <w:rPr>
          <w:rStyle w:val="FootnoteReference"/>
          <w:lang w:val="en-US"/>
        </w:rPr>
        <w:footnoteReference w:id="78"/>
      </w:r>
      <w:r w:rsidR="00B8396F" w:rsidRPr="00A77216">
        <w:rPr>
          <w:lang w:val="en-US"/>
        </w:rPr>
        <w:t xml:space="preserve"> </w:t>
      </w:r>
      <w:r w:rsidR="001D01E0" w:rsidRPr="00A77216">
        <w:rPr>
          <w:lang w:val="en-US"/>
        </w:rPr>
        <w:t>T</w:t>
      </w:r>
      <w:r w:rsidR="007A5C94" w:rsidRPr="00A77216">
        <w:rPr>
          <w:lang w:val="en-GB"/>
        </w:rPr>
        <w:t xml:space="preserve">he Committee considers that the permitted duration of an activity is clearly an operating condition for that activity, and an important one at that. </w:t>
      </w:r>
      <w:r w:rsidR="00A77216" w:rsidRPr="00A77216">
        <w:rPr>
          <w:lang w:val="en-GB"/>
        </w:rPr>
        <w:t xml:space="preserve">Accordingly, any change to the permitted duration of an activity, be it a reduction or an </w:t>
      </w:r>
      <w:r w:rsidR="006A3287" w:rsidRPr="00A77216">
        <w:rPr>
          <w:lang w:val="en-GB"/>
        </w:rPr>
        <w:t>extension</w:t>
      </w:r>
      <w:r w:rsidR="00A77216" w:rsidRPr="00A77216">
        <w:rPr>
          <w:lang w:val="en-GB"/>
        </w:rPr>
        <w:t>,</w:t>
      </w:r>
      <w:r w:rsidR="006A3287" w:rsidRPr="00A77216">
        <w:rPr>
          <w:lang w:val="en-GB"/>
        </w:rPr>
        <w:t xml:space="preserve"> </w:t>
      </w:r>
      <w:r w:rsidR="00A77216">
        <w:rPr>
          <w:lang w:val="en-GB"/>
        </w:rPr>
        <w:t>is</w:t>
      </w:r>
      <w:r w:rsidR="006A3287">
        <w:rPr>
          <w:lang w:val="en-GB"/>
        </w:rPr>
        <w:t xml:space="preserve"> a reconsideration or update of that activity’s operating conditions. </w:t>
      </w:r>
      <w:r w:rsidR="007A5C94">
        <w:rPr>
          <w:lang w:val="en-GB"/>
        </w:rPr>
        <w:t>It follows</w:t>
      </w:r>
      <w:r w:rsidR="00D516FE" w:rsidRPr="00853E2A">
        <w:rPr>
          <w:lang w:val="en-GB"/>
        </w:rPr>
        <w:t xml:space="preserve"> </w:t>
      </w:r>
      <w:r w:rsidR="00D516FE" w:rsidRPr="00853E2A">
        <w:rPr>
          <w:lang w:val="en-GB"/>
        </w:rPr>
        <w:lastRenderedPageBreak/>
        <w:t xml:space="preserve">that </w:t>
      </w:r>
      <w:r w:rsidR="00B8396F" w:rsidRPr="00C65A0B">
        <w:rPr>
          <w:lang w:val="en-GB"/>
        </w:rPr>
        <w:t xml:space="preserve">any decision permitting </w:t>
      </w:r>
      <w:r w:rsidR="007A5C94">
        <w:rPr>
          <w:lang w:val="en-GB"/>
        </w:rPr>
        <w:t>the NPP</w:t>
      </w:r>
      <w:r w:rsidR="007A5C94" w:rsidRPr="00C65A0B">
        <w:rPr>
          <w:lang w:val="en-GB"/>
        </w:rPr>
        <w:t xml:space="preserve"> </w:t>
      </w:r>
      <w:r w:rsidR="00B8396F" w:rsidRPr="00C65A0B">
        <w:rPr>
          <w:lang w:val="en-GB"/>
        </w:rPr>
        <w:t xml:space="preserve">to operate beyond 2014 amounted to an update of the operating conditions. </w:t>
      </w:r>
    </w:p>
    <w:p w:rsidR="00023283" w:rsidRPr="001A20E3" w:rsidRDefault="006064CA" w:rsidP="00A27C21">
      <w:pPr>
        <w:pStyle w:val="SingleTxtG"/>
        <w:numPr>
          <w:ilvl w:val="0"/>
          <w:numId w:val="3"/>
        </w:numPr>
        <w:ind w:left="1134" w:right="0" w:firstLine="0"/>
        <w:rPr>
          <w:rStyle w:val="st"/>
          <w:lang w:val="en-GB"/>
        </w:rPr>
      </w:pPr>
      <w:r w:rsidRPr="001A20E3">
        <w:rPr>
          <w:rStyle w:val="st"/>
          <w:lang w:val="en-GB"/>
        </w:rPr>
        <w:t>Based on the above, t</w:t>
      </w:r>
      <w:r w:rsidR="00313422" w:rsidRPr="00695D7A">
        <w:rPr>
          <w:rStyle w:val="st"/>
          <w:lang w:val="en-GB"/>
        </w:rPr>
        <w:t xml:space="preserve">he Committee </w:t>
      </w:r>
      <w:r w:rsidR="004B57E5">
        <w:rPr>
          <w:rStyle w:val="st"/>
          <w:lang w:val="en-GB"/>
        </w:rPr>
        <w:t>considers</w:t>
      </w:r>
      <w:r w:rsidR="00313422" w:rsidRPr="00695D7A">
        <w:rPr>
          <w:rStyle w:val="st"/>
          <w:lang w:val="en-GB"/>
        </w:rPr>
        <w:t xml:space="preserve"> that the </w:t>
      </w:r>
      <w:r w:rsidR="00496C12">
        <w:rPr>
          <w:rStyle w:val="st"/>
          <w:lang w:val="en-GB"/>
        </w:rPr>
        <w:t xml:space="preserve">18 March 2013 </w:t>
      </w:r>
      <w:r w:rsidR="0046030A">
        <w:rPr>
          <w:rStyle w:val="st"/>
          <w:lang w:val="en-GB"/>
        </w:rPr>
        <w:t>licence</w:t>
      </w:r>
      <w:r w:rsidR="00496C12">
        <w:rPr>
          <w:rStyle w:val="st"/>
          <w:lang w:val="en-GB"/>
        </w:rPr>
        <w:t xml:space="preserve"> granting a lifetime extension until </w:t>
      </w:r>
      <w:r w:rsidR="002F11A3">
        <w:rPr>
          <w:rStyle w:val="st"/>
          <w:lang w:val="en-GB"/>
        </w:rPr>
        <w:t xml:space="preserve">31 December </w:t>
      </w:r>
      <w:r w:rsidR="00496C12">
        <w:rPr>
          <w:rStyle w:val="st"/>
          <w:lang w:val="en-GB"/>
        </w:rPr>
        <w:t xml:space="preserve">2033 updated the operating conditions of the NPP. Accordingly, under </w:t>
      </w:r>
      <w:r w:rsidR="00547C2C" w:rsidRPr="00695D7A">
        <w:rPr>
          <w:lang w:val="en-GB"/>
        </w:rPr>
        <w:t>article 6, paragraph 10, of the Convention, the Party concerned was obliged to ensure that the provisions of article 6, paragraphs 2 to 9, were applied, “mutatis mutandis, and where appropriate</w:t>
      </w:r>
      <w:r w:rsidR="00496C12">
        <w:rPr>
          <w:lang w:val="en-GB"/>
        </w:rPr>
        <w:t xml:space="preserve"> to that decision</w:t>
      </w:r>
      <w:r w:rsidR="00547C2C" w:rsidRPr="001A20E3">
        <w:rPr>
          <w:lang w:val="en-GB"/>
        </w:rPr>
        <w:t>.</w:t>
      </w:r>
    </w:p>
    <w:p w:rsidR="00797748" w:rsidRDefault="00797748" w:rsidP="00797748">
      <w:pPr>
        <w:pStyle w:val="SingleTxtG"/>
        <w:numPr>
          <w:ilvl w:val="0"/>
          <w:numId w:val="3"/>
        </w:numPr>
        <w:ind w:left="1134" w:right="0" w:firstLine="0"/>
        <w:rPr>
          <w:lang w:val="en-GB"/>
        </w:rPr>
      </w:pPr>
      <w:r w:rsidRPr="00695D7A">
        <w:rPr>
          <w:lang w:val="en-GB"/>
        </w:rPr>
        <w:t xml:space="preserve">In the light of the above, it </w:t>
      </w:r>
      <w:r w:rsidR="004B57E5">
        <w:rPr>
          <w:lang w:val="en-GB"/>
        </w:rPr>
        <w:t xml:space="preserve">is not </w:t>
      </w:r>
      <w:r w:rsidRPr="00695D7A">
        <w:rPr>
          <w:lang w:val="en-GB"/>
        </w:rPr>
        <w:t>necessary in the present case to consider whether article 6, paragraph 1 (a) would also apply</w:t>
      </w:r>
      <w:r w:rsidR="000342C4" w:rsidRPr="00695D7A">
        <w:rPr>
          <w:lang w:val="en-GB"/>
        </w:rPr>
        <w:t>, either in conjunction with paragraph 1 or paragraph 20 of Annex I of the Convention,</w:t>
      </w:r>
      <w:r w:rsidRPr="00695D7A">
        <w:rPr>
          <w:lang w:val="en-GB"/>
        </w:rPr>
        <w:t xml:space="preserve"> to </w:t>
      </w:r>
      <w:r w:rsidR="000342C4" w:rsidRPr="00695D7A">
        <w:rPr>
          <w:lang w:val="en-GB"/>
        </w:rPr>
        <w:t>the 2013 lifetime extension</w:t>
      </w:r>
      <w:r w:rsidRPr="001A20E3">
        <w:rPr>
          <w:lang w:val="en-GB"/>
        </w:rPr>
        <w:t>.</w:t>
      </w:r>
    </w:p>
    <w:p w:rsidR="00E12439" w:rsidRPr="00C65A0B" w:rsidRDefault="00E12439" w:rsidP="007D7040">
      <w:pPr>
        <w:pStyle w:val="SingleTxtG"/>
        <w:ind w:right="0"/>
        <w:rPr>
          <w:i/>
          <w:lang w:val="en-GB"/>
        </w:rPr>
      </w:pPr>
      <w:r>
        <w:rPr>
          <w:lang w:val="en-GB"/>
        </w:rPr>
        <w:t>“</w:t>
      </w:r>
      <w:r w:rsidRPr="00E12439">
        <w:rPr>
          <w:i/>
          <w:lang w:val="en-GB"/>
        </w:rPr>
        <w:t>Mutatis mutandis</w:t>
      </w:r>
      <w:r w:rsidR="0080361F">
        <w:rPr>
          <w:i/>
          <w:lang w:val="en-GB"/>
        </w:rPr>
        <w:t>”</w:t>
      </w:r>
      <w:r w:rsidRPr="00E12439">
        <w:rPr>
          <w:i/>
          <w:lang w:val="en-GB"/>
        </w:rPr>
        <w:t xml:space="preserve"> and </w:t>
      </w:r>
      <w:r w:rsidR="0080361F">
        <w:rPr>
          <w:i/>
          <w:lang w:val="en-GB"/>
        </w:rPr>
        <w:t>“</w:t>
      </w:r>
      <w:r>
        <w:rPr>
          <w:i/>
          <w:lang w:val="en-GB"/>
        </w:rPr>
        <w:t xml:space="preserve">where </w:t>
      </w:r>
      <w:r w:rsidRPr="00E12439">
        <w:rPr>
          <w:i/>
          <w:lang w:val="en-GB"/>
        </w:rPr>
        <w:t>appropriate”</w:t>
      </w:r>
    </w:p>
    <w:p w:rsidR="00FD7030" w:rsidRPr="001A20E3" w:rsidRDefault="00FD7030" w:rsidP="00FD7030">
      <w:pPr>
        <w:pStyle w:val="SingleTxtG"/>
        <w:numPr>
          <w:ilvl w:val="0"/>
          <w:numId w:val="3"/>
        </w:numPr>
        <w:ind w:left="1134" w:right="0" w:firstLine="0"/>
        <w:rPr>
          <w:rStyle w:val="st"/>
          <w:lang w:val="en-GB"/>
        </w:rPr>
      </w:pPr>
      <w:r w:rsidRPr="001A20E3">
        <w:rPr>
          <w:rStyle w:val="st"/>
          <w:lang w:val="en-GB"/>
        </w:rPr>
        <w:t xml:space="preserve">Having found that the decision to extend its design lifetime constituted an update of the operating conditions for the Borssele NPP under article 6, paragraph 10 of the Convention, the Committee examines whether the requirements of article 6, paragraph 10, were in fact met by the Party concerned in this case. </w:t>
      </w:r>
    </w:p>
    <w:p w:rsidR="00B157A7" w:rsidRDefault="00FD7030" w:rsidP="00BA701A">
      <w:pPr>
        <w:pStyle w:val="SingleTxtG"/>
        <w:numPr>
          <w:ilvl w:val="0"/>
          <w:numId w:val="3"/>
        </w:numPr>
        <w:ind w:left="1134" w:right="0" w:firstLine="0"/>
        <w:rPr>
          <w:rStyle w:val="st"/>
          <w:lang w:val="en-GB"/>
        </w:rPr>
      </w:pPr>
      <w:r w:rsidRPr="001A20E3">
        <w:rPr>
          <w:rStyle w:val="st"/>
          <w:lang w:val="en-GB"/>
        </w:rPr>
        <w:t>Pursuant to article 6, paragraph 10, the Party concerned was obliged to ensure that the provisions of article 6, paragraphs 2 to 9, were applied “mutatis mutandis</w:t>
      </w:r>
      <w:r w:rsidR="0080361F">
        <w:rPr>
          <w:rStyle w:val="st"/>
          <w:lang w:val="en-GB"/>
        </w:rPr>
        <w:t>”</w:t>
      </w:r>
      <w:r w:rsidRPr="001A20E3">
        <w:rPr>
          <w:rStyle w:val="st"/>
          <w:lang w:val="en-GB"/>
        </w:rPr>
        <w:t xml:space="preserve"> and </w:t>
      </w:r>
      <w:r w:rsidR="0080361F">
        <w:rPr>
          <w:rStyle w:val="st"/>
          <w:lang w:val="en-GB"/>
        </w:rPr>
        <w:t>“</w:t>
      </w:r>
      <w:r w:rsidRPr="001A20E3">
        <w:rPr>
          <w:rStyle w:val="st"/>
          <w:lang w:val="en-GB"/>
        </w:rPr>
        <w:t xml:space="preserve">where appropriate” to the 2013 permission. </w:t>
      </w:r>
    </w:p>
    <w:p w:rsidR="007F1741" w:rsidRPr="00B157A7" w:rsidRDefault="00B157A7" w:rsidP="00B157A7">
      <w:pPr>
        <w:pStyle w:val="SingleTxtG"/>
        <w:ind w:right="0"/>
        <w:rPr>
          <w:rStyle w:val="st"/>
          <w:u w:val="single"/>
          <w:lang w:val="en-GB"/>
        </w:rPr>
      </w:pPr>
      <w:r w:rsidRPr="00B157A7">
        <w:rPr>
          <w:rStyle w:val="st"/>
          <w:u w:val="single"/>
          <w:lang w:val="en-GB"/>
        </w:rPr>
        <w:t>Mutatis mutandis</w:t>
      </w:r>
    </w:p>
    <w:p w:rsidR="00120725" w:rsidRPr="00B157A7" w:rsidRDefault="00881CC8" w:rsidP="00BA701A">
      <w:pPr>
        <w:pStyle w:val="SingleTxtG"/>
        <w:numPr>
          <w:ilvl w:val="0"/>
          <w:numId w:val="3"/>
        </w:numPr>
        <w:ind w:left="1134" w:right="0" w:firstLine="0"/>
        <w:rPr>
          <w:lang w:val="en-GB"/>
        </w:rPr>
      </w:pPr>
      <w:r>
        <w:t xml:space="preserve">The reference in paragraph 10 to “mutatis mutandis” </w:t>
      </w:r>
      <w:r w:rsidR="008A384E" w:rsidRPr="00853E2A">
        <w:rPr>
          <w:lang w:val="en-US"/>
        </w:rPr>
        <w:t xml:space="preserve">simply </w:t>
      </w:r>
      <w:r>
        <w:t>means “with the necessary changes”,</w:t>
      </w:r>
      <w:r>
        <w:rPr>
          <w:rStyle w:val="FootnoteReference"/>
        </w:rPr>
        <w:footnoteReference w:id="79"/>
      </w:r>
      <w:r>
        <w:t xml:space="preserve"> </w:t>
      </w:r>
      <w:r w:rsidR="008A384E" w:rsidRPr="00853E2A">
        <w:rPr>
          <w:lang w:val="en-US"/>
        </w:rPr>
        <w:t>i.e. when app</w:t>
      </w:r>
      <w:r w:rsidR="008A384E">
        <w:rPr>
          <w:lang w:val="en-US"/>
        </w:rPr>
        <w:t>l</w:t>
      </w:r>
      <w:r w:rsidR="008A384E" w:rsidRPr="00853E2A">
        <w:rPr>
          <w:lang w:val="en-US"/>
        </w:rPr>
        <w:t xml:space="preserve">ying </w:t>
      </w:r>
      <w:r w:rsidR="00120725" w:rsidRPr="00853E2A">
        <w:rPr>
          <w:lang w:val="en-US"/>
        </w:rPr>
        <w:t xml:space="preserve">the provisions of </w:t>
      </w:r>
      <w:r w:rsidR="00120725" w:rsidRPr="00C65A0B">
        <w:rPr>
          <w:lang w:val="en-US"/>
        </w:rPr>
        <w:t>paragraphs 2 to 9</w:t>
      </w:r>
      <w:r w:rsidR="00120725">
        <w:rPr>
          <w:lang w:val="en-US"/>
        </w:rPr>
        <w:t xml:space="preserve"> of article 6 </w:t>
      </w:r>
      <w:r w:rsidR="008A384E">
        <w:rPr>
          <w:lang w:val="en-US"/>
        </w:rPr>
        <w:t>to a reconsideration or an update</w:t>
      </w:r>
      <w:r w:rsidR="008A384E" w:rsidRPr="00C65A0B">
        <w:rPr>
          <w:lang w:val="en-US"/>
        </w:rPr>
        <w:t xml:space="preserve"> of</w:t>
      </w:r>
      <w:r w:rsidR="00120725" w:rsidRPr="00C65A0B">
        <w:rPr>
          <w:lang w:val="en-US"/>
        </w:rPr>
        <w:t xml:space="preserve"> the </w:t>
      </w:r>
      <w:r w:rsidR="00120725">
        <w:rPr>
          <w:lang w:val="en-US"/>
        </w:rPr>
        <w:t xml:space="preserve">operating conditions for an article 6 activity, the public authority </w:t>
      </w:r>
      <w:r w:rsidR="007F1741">
        <w:rPr>
          <w:lang w:val="en-US"/>
        </w:rPr>
        <w:t>applies</w:t>
      </w:r>
      <w:r w:rsidR="008A384E">
        <w:rPr>
          <w:lang w:val="en-US"/>
        </w:rPr>
        <w:t xml:space="preserve"> those paragraphs with the necessary changes.</w:t>
      </w:r>
      <w:r w:rsidR="008A384E">
        <w:rPr>
          <w:rStyle w:val="FootnoteReference"/>
          <w:lang w:val="en-US"/>
        </w:rPr>
        <w:footnoteReference w:id="80"/>
      </w:r>
    </w:p>
    <w:p w:rsidR="00B157A7" w:rsidRPr="00B157A7" w:rsidRDefault="00B157A7" w:rsidP="00B157A7">
      <w:pPr>
        <w:pStyle w:val="SingleTxtG"/>
        <w:ind w:right="0"/>
        <w:rPr>
          <w:u w:val="single"/>
          <w:lang w:val="en-GB"/>
        </w:rPr>
      </w:pPr>
      <w:r w:rsidRPr="00B157A7">
        <w:rPr>
          <w:u w:val="single"/>
          <w:lang w:val="en-US"/>
        </w:rPr>
        <w:t xml:space="preserve">Where appropriate </w:t>
      </w:r>
    </w:p>
    <w:p w:rsidR="00755A94" w:rsidRDefault="00881CC8" w:rsidP="007A5C94">
      <w:pPr>
        <w:pStyle w:val="SingleTxtG"/>
        <w:numPr>
          <w:ilvl w:val="0"/>
          <w:numId w:val="3"/>
        </w:numPr>
        <w:ind w:left="1134" w:right="0" w:firstLine="0"/>
        <w:rPr>
          <w:rStyle w:val="st"/>
          <w:lang w:val="en-GB"/>
        </w:rPr>
      </w:pPr>
      <w:r>
        <w:t xml:space="preserve"> </w:t>
      </w:r>
      <w:r w:rsidR="00120725" w:rsidRPr="007A5C94">
        <w:rPr>
          <w:rStyle w:val="st"/>
          <w:lang w:val="en-GB"/>
        </w:rPr>
        <w:t xml:space="preserve">With respect to “where appropriate”, </w:t>
      </w:r>
      <w:r w:rsidR="00FD7030" w:rsidRPr="007A5C94">
        <w:rPr>
          <w:rStyle w:val="st"/>
          <w:lang w:val="en-GB"/>
        </w:rPr>
        <w:t xml:space="preserve">the Committee recalls </w:t>
      </w:r>
      <w:r w:rsidR="00407D49">
        <w:rPr>
          <w:rStyle w:val="st"/>
          <w:lang w:val="en-GB"/>
        </w:rPr>
        <w:t xml:space="preserve">that, in </w:t>
      </w:r>
      <w:r w:rsidR="00FD7030" w:rsidRPr="007A5C94">
        <w:rPr>
          <w:rStyle w:val="st"/>
          <w:lang w:val="en-GB"/>
        </w:rPr>
        <w:t>its findings on communication ACCC/C/2009/41 (Slovakia)</w:t>
      </w:r>
      <w:r w:rsidR="00407D49">
        <w:rPr>
          <w:rStyle w:val="st"/>
          <w:lang w:val="en-GB"/>
        </w:rPr>
        <w:t>,</w:t>
      </w:r>
      <w:r w:rsidR="00FD7030" w:rsidRPr="007A5C94">
        <w:rPr>
          <w:rStyle w:val="st"/>
          <w:lang w:val="en-GB"/>
        </w:rPr>
        <w:t xml:space="preserve"> it held that although each Party is given some discretion </w:t>
      </w:r>
      <w:r w:rsidR="005D4A36">
        <w:rPr>
          <w:rStyle w:val="st"/>
          <w:lang w:val="en-GB"/>
        </w:rPr>
        <w:t xml:space="preserve">under article 6, paragraph 10, </w:t>
      </w:r>
      <w:r w:rsidR="00426CC2">
        <w:rPr>
          <w:rStyle w:val="st"/>
          <w:lang w:val="en-GB"/>
        </w:rPr>
        <w:t xml:space="preserve">this </w:t>
      </w:r>
      <w:r w:rsidR="00FD7030" w:rsidRPr="007A5C94">
        <w:rPr>
          <w:rStyle w:val="st"/>
          <w:lang w:val="en-GB"/>
        </w:rPr>
        <w:t>does not imply complete discretion for the Party concerned to determine whether or not it was appropriate to provide for public participation</w:t>
      </w:r>
      <w:r w:rsidR="00755A94" w:rsidRPr="007A5C94">
        <w:rPr>
          <w:rStyle w:val="st"/>
          <w:lang w:val="en-GB"/>
        </w:rPr>
        <w:t>.</w:t>
      </w:r>
      <w:r w:rsidR="00426CC2">
        <w:rPr>
          <w:rStyle w:val="FootnoteReference"/>
          <w:lang w:val="en-GB"/>
        </w:rPr>
        <w:footnoteReference w:id="81"/>
      </w:r>
      <w:r w:rsidR="00FD7030" w:rsidRPr="007A5C94">
        <w:rPr>
          <w:rStyle w:val="st"/>
          <w:lang w:val="en-GB"/>
        </w:rPr>
        <w:t xml:space="preserve"> </w:t>
      </w:r>
      <w:r w:rsidR="004F7AA7">
        <w:rPr>
          <w:rStyle w:val="st"/>
          <w:lang w:val="en-GB"/>
        </w:rPr>
        <w:t>I</w:t>
      </w:r>
      <w:r w:rsidR="00755A94" w:rsidRPr="00817477">
        <w:rPr>
          <w:rStyle w:val="st"/>
          <w:lang w:val="en-GB"/>
        </w:rPr>
        <w:t xml:space="preserve">n its findings </w:t>
      </w:r>
      <w:r w:rsidR="006F345D" w:rsidRPr="00817477">
        <w:rPr>
          <w:rStyle w:val="st"/>
          <w:lang w:val="en-GB"/>
        </w:rPr>
        <w:t xml:space="preserve">on communication ACCC/C/2013/99 (Spain), the Committee </w:t>
      </w:r>
      <w:r w:rsidR="00BA701A">
        <w:rPr>
          <w:rStyle w:val="st"/>
          <w:lang w:val="en-GB"/>
        </w:rPr>
        <w:t>stated</w:t>
      </w:r>
      <w:r w:rsidR="00BA701A" w:rsidRPr="00817477">
        <w:rPr>
          <w:rStyle w:val="st"/>
          <w:lang w:val="en-GB"/>
        </w:rPr>
        <w:t xml:space="preserve"> </w:t>
      </w:r>
      <w:r w:rsidR="006F345D" w:rsidRPr="00817477">
        <w:rPr>
          <w:rStyle w:val="st"/>
          <w:lang w:val="en-GB"/>
        </w:rPr>
        <w:t xml:space="preserve">that </w:t>
      </w:r>
      <w:r w:rsidR="00755A94" w:rsidRPr="00817477">
        <w:rPr>
          <w:rStyle w:val="st"/>
          <w:lang w:val="en-GB"/>
        </w:rPr>
        <w:t>the discretion as to the “appropriateness” of the application of the provisions of paragraphs 2 to 9 of article 6 of the Convention “must be considered to be even more limited if the update in the operating conditions may itself have a significant effect on the environment.”</w:t>
      </w:r>
      <w:r w:rsidR="00755A94" w:rsidRPr="001A20E3">
        <w:rPr>
          <w:rStyle w:val="st"/>
          <w:vertAlign w:val="superscript"/>
          <w:lang w:val="en-GB"/>
        </w:rPr>
        <w:footnoteReference w:id="82"/>
      </w:r>
      <w:r w:rsidR="00755A94" w:rsidRPr="00817477">
        <w:rPr>
          <w:rStyle w:val="st"/>
          <w:lang w:val="en-GB"/>
        </w:rPr>
        <w:t xml:space="preserve"> </w:t>
      </w:r>
      <w:r w:rsidR="0087634A">
        <w:rPr>
          <w:lang w:val="en-GB"/>
        </w:rPr>
        <w:t xml:space="preserve">The Committee considers that, except in cases where a change to the permitted duration </w:t>
      </w:r>
      <w:r w:rsidR="00AF44B4">
        <w:rPr>
          <w:lang w:val="en-GB"/>
        </w:rPr>
        <w:t xml:space="preserve">is for a minimal time and obviously would have </w:t>
      </w:r>
      <w:r w:rsidR="006E1CD1">
        <w:rPr>
          <w:lang w:val="en-GB"/>
        </w:rPr>
        <w:t>in</w:t>
      </w:r>
      <w:r w:rsidR="00AF44B4">
        <w:rPr>
          <w:lang w:val="en-GB"/>
        </w:rPr>
        <w:t>significant or no effects on the environment</w:t>
      </w:r>
      <w:r w:rsidR="0087634A">
        <w:rPr>
          <w:lang w:val="en-GB"/>
        </w:rPr>
        <w:t xml:space="preserve"> </w:t>
      </w:r>
      <w:r w:rsidR="00AF44B4">
        <w:rPr>
          <w:lang w:val="en-GB"/>
        </w:rPr>
        <w:t xml:space="preserve">it is “appropriate” for </w:t>
      </w:r>
      <w:r w:rsidR="0087634A">
        <w:rPr>
          <w:lang w:val="en-GB"/>
        </w:rPr>
        <w:t xml:space="preserve">extensions of duration </w:t>
      </w:r>
      <w:r w:rsidR="00AF44B4">
        <w:rPr>
          <w:lang w:val="en-GB"/>
        </w:rPr>
        <w:t>to</w:t>
      </w:r>
      <w:r w:rsidR="00204445">
        <w:rPr>
          <w:lang w:val="en-GB"/>
        </w:rPr>
        <w:t xml:space="preserve"> be subject to the provisions of article 6</w:t>
      </w:r>
      <w:r w:rsidR="00AF44B4">
        <w:rPr>
          <w:lang w:val="en-GB"/>
        </w:rPr>
        <w:t>.</w:t>
      </w:r>
      <w:r w:rsidR="0087634A">
        <w:rPr>
          <w:lang w:val="en-GB"/>
        </w:rPr>
        <w:t xml:space="preserve"> </w:t>
      </w:r>
      <w:r w:rsidR="00817477" w:rsidRPr="00817477">
        <w:rPr>
          <w:rStyle w:val="st"/>
          <w:lang w:val="en-GB"/>
        </w:rPr>
        <w:t xml:space="preserve">In this regard, </w:t>
      </w:r>
      <w:r w:rsidR="00AF44B4">
        <w:rPr>
          <w:rStyle w:val="st"/>
          <w:lang w:val="en-GB"/>
        </w:rPr>
        <w:t xml:space="preserve">the Committee considers </w:t>
      </w:r>
      <w:r w:rsidR="00817477" w:rsidRPr="00817477">
        <w:rPr>
          <w:rStyle w:val="st"/>
          <w:lang w:val="en-GB"/>
        </w:rPr>
        <w:t xml:space="preserve">it inconceivable that the operation of a nuclear power plant could be extended from 40 years to 60 years without the potential for significant environmental effects. </w:t>
      </w:r>
      <w:r w:rsidR="00930AE5" w:rsidRPr="00817477">
        <w:rPr>
          <w:rStyle w:val="st"/>
          <w:lang w:val="en-GB"/>
        </w:rPr>
        <w:t xml:space="preserve">The Committee accordingly </w:t>
      </w:r>
      <w:r w:rsidR="007E180D" w:rsidRPr="00817477">
        <w:rPr>
          <w:rStyle w:val="st"/>
          <w:lang w:val="en-GB"/>
        </w:rPr>
        <w:t>c</w:t>
      </w:r>
      <w:r w:rsidR="007E180D">
        <w:rPr>
          <w:rStyle w:val="st"/>
          <w:lang w:val="en-GB"/>
        </w:rPr>
        <w:t>oncludes</w:t>
      </w:r>
      <w:r w:rsidR="007E180D" w:rsidRPr="00817477">
        <w:rPr>
          <w:rStyle w:val="st"/>
          <w:lang w:val="en-GB"/>
        </w:rPr>
        <w:t xml:space="preserve"> </w:t>
      </w:r>
      <w:r w:rsidR="00930AE5" w:rsidRPr="00817477">
        <w:rPr>
          <w:rStyle w:val="st"/>
          <w:lang w:val="en-GB"/>
        </w:rPr>
        <w:t xml:space="preserve">that it was </w:t>
      </w:r>
      <w:r w:rsidR="00817477">
        <w:rPr>
          <w:rStyle w:val="st"/>
          <w:lang w:val="en-GB"/>
        </w:rPr>
        <w:t>“</w:t>
      </w:r>
      <w:r w:rsidR="00930AE5" w:rsidRPr="00817477">
        <w:rPr>
          <w:rStyle w:val="st"/>
          <w:lang w:val="en-GB"/>
        </w:rPr>
        <w:t>appropriate</w:t>
      </w:r>
      <w:r w:rsidR="00817477">
        <w:rPr>
          <w:rStyle w:val="st"/>
          <w:lang w:val="en-GB"/>
        </w:rPr>
        <w:t>”</w:t>
      </w:r>
      <w:r w:rsidR="004B57E5">
        <w:rPr>
          <w:rStyle w:val="st"/>
          <w:lang w:val="en-GB"/>
        </w:rPr>
        <w:t>, and thus required,</w:t>
      </w:r>
      <w:r w:rsidR="00930AE5" w:rsidRPr="00817477">
        <w:rPr>
          <w:rStyle w:val="st"/>
          <w:lang w:val="en-GB"/>
        </w:rPr>
        <w:t xml:space="preserve"> to apply the provisions of article 6, paragraphs 2-9</w:t>
      </w:r>
      <w:r w:rsidR="00883E6E">
        <w:rPr>
          <w:rStyle w:val="st"/>
          <w:lang w:val="en-GB"/>
        </w:rPr>
        <w:t>,</w:t>
      </w:r>
      <w:r w:rsidR="00930AE5" w:rsidRPr="00817477">
        <w:rPr>
          <w:rStyle w:val="st"/>
          <w:lang w:val="en-GB"/>
        </w:rPr>
        <w:t xml:space="preserve"> to the decision to grant the lifetime extension of the Borssele NPP until 2033.</w:t>
      </w:r>
    </w:p>
    <w:p w:rsidR="004F7AA7" w:rsidRPr="00817477" w:rsidRDefault="004F7AA7" w:rsidP="006613D3">
      <w:pPr>
        <w:pStyle w:val="SingleTxtG"/>
        <w:ind w:right="0"/>
        <w:rPr>
          <w:rStyle w:val="st"/>
          <w:lang w:val="en-GB"/>
        </w:rPr>
      </w:pPr>
    </w:p>
    <w:p w:rsidR="00684F05" w:rsidRPr="00695D7A" w:rsidRDefault="00684F05" w:rsidP="00695D7A">
      <w:pPr>
        <w:pStyle w:val="SingleTxtG"/>
        <w:ind w:right="0"/>
        <w:rPr>
          <w:rStyle w:val="st"/>
          <w:b/>
          <w:lang w:val="en-GB"/>
        </w:rPr>
      </w:pPr>
      <w:r w:rsidRPr="00695D7A">
        <w:rPr>
          <w:b/>
          <w:lang w:val="en-GB"/>
        </w:rPr>
        <w:lastRenderedPageBreak/>
        <w:t>Compliance with the requirements of article 6</w:t>
      </w:r>
    </w:p>
    <w:p w:rsidR="00F920E8" w:rsidRPr="001A20E3" w:rsidRDefault="00F920E8" w:rsidP="00BA701A">
      <w:pPr>
        <w:pStyle w:val="SingleTxtG"/>
        <w:numPr>
          <w:ilvl w:val="0"/>
          <w:numId w:val="3"/>
        </w:numPr>
        <w:ind w:left="1134" w:right="0" w:firstLine="0"/>
        <w:rPr>
          <w:rStyle w:val="st"/>
          <w:lang w:val="en-GB"/>
        </w:rPr>
      </w:pPr>
      <w:r w:rsidRPr="001A20E3">
        <w:rPr>
          <w:rStyle w:val="st"/>
          <w:lang w:val="en-GB"/>
        </w:rPr>
        <w:t xml:space="preserve">Having found that the Party concerned was obliged pursuant to article 6, paragraph 10 of the Convention to carry out public participation meeting the requirements of article 6, paragraphs 2 to 9 to the decision to extend the lifetime of Borssele NPP until 2033, the Committee examines the extent to which the Party concerned met those requirements below. </w:t>
      </w:r>
    </w:p>
    <w:p w:rsidR="004648FE" w:rsidRPr="00AA411D" w:rsidRDefault="00F705D1" w:rsidP="00853E2A">
      <w:pPr>
        <w:pStyle w:val="SingleTxtG"/>
        <w:numPr>
          <w:ilvl w:val="0"/>
          <w:numId w:val="3"/>
        </w:numPr>
        <w:ind w:left="1134" w:right="0" w:firstLine="0"/>
        <w:rPr>
          <w:lang w:val="en-GB"/>
        </w:rPr>
      </w:pPr>
      <w:r w:rsidRPr="001A20E3">
        <w:rPr>
          <w:rStyle w:val="st"/>
          <w:lang w:val="en-GB"/>
        </w:rPr>
        <w:t>The Committee notes that i</w:t>
      </w:r>
      <w:r w:rsidR="00DA2ED2" w:rsidRPr="001A20E3">
        <w:rPr>
          <w:rStyle w:val="st"/>
          <w:lang w:val="en-GB"/>
        </w:rPr>
        <w:t xml:space="preserve">t is common ground </w:t>
      </w:r>
      <w:r w:rsidRPr="001A20E3">
        <w:rPr>
          <w:rStyle w:val="st"/>
          <w:lang w:val="en-GB"/>
        </w:rPr>
        <w:t xml:space="preserve">between the parties </w:t>
      </w:r>
      <w:r w:rsidR="00DA2ED2" w:rsidRPr="001A20E3">
        <w:rPr>
          <w:rStyle w:val="st"/>
          <w:lang w:val="en-GB"/>
        </w:rPr>
        <w:t xml:space="preserve">that the </w:t>
      </w:r>
      <w:r w:rsidR="0038042A" w:rsidRPr="00695D7A">
        <w:rPr>
          <w:rStyle w:val="st"/>
          <w:lang w:val="en-GB"/>
        </w:rPr>
        <w:t>G</w:t>
      </w:r>
      <w:r w:rsidR="00DA2ED2" w:rsidRPr="00695D7A">
        <w:rPr>
          <w:rStyle w:val="st"/>
          <w:lang w:val="en-GB"/>
        </w:rPr>
        <w:t xml:space="preserve">overnment conducted a </w:t>
      </w:r>
      <w:r w:rsidR="00817477">
        <w:rPr>
          <w:rStyle w:val="st"/>
          <w:lang w:val="en-GB"/>
        </w:rPr>
        <w:t xml:space="preserve">public participation </w:t>
      </w:r>
      <w:r w:rsidR="00DA2ED2" w:rsidRPr="00695D7A">
        <w:rPr>
          <w:rStyle w:val="st"/>
          <w:lang w:val="en-GB"/>
        </w:rPr>
        <w:t xml:space="preserve">procedure prior to issuing the </w:t>
      </w:r>
      <w:r w:rsidR="00B80E30" w:rsidRPr="00695D7A">
        <w:rPr>
          <w:rStyle w:val="st"/>
          <w:lang w:val="en-GB"/>
        </w:rPr>
        <w:t xml:space="preserve">licence </w:t>
      </w:r>
      <w:r w:rsidR="00DA2ED2" w:rsidRPr="00695D7A">
        <w:rPr>
          <w:rStyle w:val="st"/>
        </w:rPr>
        <w:t xml:space="preserve">to extend the </w:t>
      </w:r>
      <w:r w:rsidR="00B80E30" w:rsidRPr="00695D7A">
        <w:rPr>
          <w:rStyle w:val="st"/>
        </w:rPr>
        <w:t xml:space="preserve">design lifetime of </w:t>
      </w:r>
      <w:r w:rsidR="00DA2ED2" w:rsidRPr="00695D7A">
        <w:rPr>
          <w:rStyle w:val="st"/>
        </w:rPr>
        <w:t xml:space="preserve">the Borssele NPP. </w:t>
      </w:r>
      <w:r w:rsidRPr="00695D7A">
        <w:rPr>
          <w:rStyle w:val="st"/>
        </w:rPr>
        <w:t xml:space="preserve">The communicant </w:t>
      </w:r>
      <w:r w:rsidR="00313422" w:rsidRPr="00695D7A">
        <w:rPr>
          <w:rStyle w:val="st"/>
        </w:rPr>
        <w:t>submits</w:t>
      </w:r>
      <w:r w:rsidRPr="00695D7A">
        <w:rPr>
          <w:rStyle w:val="st"/>
        </w:rPr>
        <w:t>, however, that this public participation</w:t>
      </w:r>
      <w:r w:rsidR="007C652E" w:rsidRPr="00695D7A">
        <w:rPr>
          <w:rStyle w:val="st"/>
        </w:rPr>
        <w:t xml:space="preserve"> procedure</w:t>
      </w:r>
      <w:r w:rsidR="00817477" w:rsidRPr="00817477">
        <w:rPr>
          <w:rStyle w:val="st"/>
          <w:lang w:val="en-US"/>
        </w:rPr>
        <w:t xml:space="preserve"> </w:t>
      </w:r>
      <w:r w:rsidR="00755EE5" w:rsidRPr="00695D7A">
        <w:rPr>
          <w:rStyle w:val="st"/>
          <w:lang w:val="en-US"/>
        </w:rPr>
        <w:t>was on</w:t>
      </w:r>
      <w:r w:rsidR="00817477">
        <w:rPr>
          <w:rStyle w:val="st"/>
          <w:lang w:val="en-US"/>
        </w:rPr>
        <w:t>ly</w:t>
      </w:r>
      <w:r w:rsidR="00755EE5" w:rsidRPr="00695D7A">
        <w:rPr>
          <w:rStyle w:val="st"/>
          <w:lang w:val="en-US"/>
        </w:rPr>
        <w:t xml:space="preserve"> </w:t>
      </w:r>
      <w:r w:rsidR="00817477">
        <w:rPr>
          <w:rStyle w:val="st"/>
          <w:lang w:val="en-US"/>
        </w:rPr>
        <w:t xml:space="preserve">on the safety aspects of the lifetime extension and </w:t>
      </w:r>
      <w:r w:rsidRPr="00695D7A">
        <w:rPr>
          <w:rStyle w:val="st"/>
        </w:rPr>
        <w:t xml:space="preserve">did not fulfil the requirements of </w:t>
      </w:r>
      <w:r w:rsidR="00B80E30" w:rsidRPr="00695D7A">
        <w:rPr>
          <w:rStyle w:val="st"/>
        </w:rPr>
        <w:t xml:space="preserve">article 6 of </w:t>
      </w:r>
      <w:r w:rsidRPr="00695D7A">
        <w:rPr>
          <w:rStyle w:val="st"/>
        </w:rPr>
        <w:t xml:space="preserve">the Convention </w:t>
      </w:r>
      <w:r w:rsidR="007C652E" w:rsidRPr="00695D7A">
        <w:rPr>
          <w:rStyle w:val="st"/>
        </w:rPr>
        <w:t>in several respects</w:t>
      </w:r>
      <w:r w:rsidRPr="00695D7A">
        <w:rPr>
          <w:rStyle w:val="st"/>
        </w:rPr>
        <w:t>.</w:t>
      </w:r>
      <w:r w:rsidR="00B80E30" w:rsidRPr="00695D7A">
        <w:rPr>
          <w:rStyle w:val="st"/>
        </w:rPr>
        <w:t xml:space="preserve"> In particular, </w:t>
      </w:r>
      <w:r w:rsidR="00B97AC4" w:rsidRPr="00853E2A">
        <w:rPr>
          <w:rStyle w:val="st"/>
          <w:lang w:val="en-US"/>
        </w:rPr>
        <w:t>while not linking its allegations to specific paragraphs of article 6</w:t>
      </w:r>
      <w:r w:rsidR="00B97AC4" w:rsidRPr="00C65A0B">
        <w:rPr>
          <w:rStyle w:val="st"/>
          <w:lang w:val="en-US"/>
        </w:rPr>
        <w:t xml:space="preserve">, </w:t>
      </w:r>
      <w:r w:rsidR="00B80E30" w:rsidRPr="00695D7A">
        <w:rPr>
          <w:rStyle w:val="st"/>
        </w:rPr>
        <w:t xml:space="preserve">the communicant alleges that the Party did not provide the public the chance to participate in a way that took into account environmental matters, that </w:t>
      </w:r>
      <w:r w:rsidR="0057564B" w:rsidRPr="00695D7A">
        <w:rPr>
          <w:rStyle w:val="st"/>
        </w:rPr>
        <w:t xml:space="preserve">it did not provide </w:t>
      </w:r>
      <w:r w:rsidR="00B80E30" w:rsidRPr="00695D7A">
        <w:rPr>
          <w:rStyle w:val="st"/>
        </w:rPr>
        <w:t xml:space="preserve">the public </w:t>
      </w:r>
      <w:r w:rsidR="0057564B" w:rsidRPr="00695D7A">
        <w:rPr>
          <w:rStyle w:val="st"/>
        </w:rPr>
        <w:t xml:space="preserve">with </w:t>
      </w:r>
      <w:r w:rsidR="00B80E30" w:rsidRPr="00695D7A">
        <w:rPr>
          <w:rStyle w:val="st"/>
        </w:rPr>
        <w:t>the information prescribed in article 6 concerning the environment, that public participation was not provided at an early stage when all options were open and that</w:t>
      </w:r>
      <w:r w:rsidR="0057564B" w:rsidRPr="00695D7A">
        <w:rPr>
          <w:rStyle w:val="st"/>
        </w:rPr>
        <w:t xml:space="preserve"> the public’s viewpoints concerning environmental matters were not taken into account in the final decision. </w:t>
      </w:r>
      <w:r w:rsidR="00B97AC4">
        <w:rPr>
          <w:rStyle w:val="st"/>
          <w:lang w:val="en-US"/>
        </w:rPr>
        <w:t>The Committee examines the Party’s compliance with the provisions of article 6 below.</w:t>
      </w:r>
      <w:r w:rsidR="004648FE" w:rsidRPr="00AA411D">
        <w:rPr>
          <w:lang w:val="en-US"/>
        </w:rPr>
        <w:t xml:space="preserve"> </w:t>
      </w:r>
    </w:p>
    <w:p w:rsidR="00F87A46" w:rsidRDefault="00F87A46" w:rsidP="00C65A0B">
      <w:pPr>
        <w:pStyle w:val="SingleTxtG"/>
        <w:ind w:right="0"/>
        <w:rPr>
          <w:b/>
          <w:lang w:val="en-GB"/>
        </w:rPr>
      </w:pPr>
    </w:p>
    <w:p w:rsidR="00DA2ED2" w:rsidRPr="00695D7A" w:rsidRDefault="00DA2ED2" w:rsidP="00C65A0B">
      <w:pPr>
        <w:pStyle w:val="SingleTxtG"/>
        <w:ind w:right="0"/>
        <w:rPr>
          <w:lang w:val="en-GB"/>
        </w:rPr>
      </w:pPr>
      <w:r w:rsidRPr="00695D7A">
        <w:rPr>
          <w:b/>
          <w:lang w:val="en-GB"/>
        </w:rPr>
        <w:t>Article 6, paragraph 4</w:t>
      </w:r>
      <w:r w:rsidR="00313422" w:rsidRPr="00695D7A">
        <w:rPr>
          <w:b/>
          <w:lang w:val="en-GB"/>
        </w:rPr>
        <w:t>,</w:t>
      </w:r>
      <w:r w:rsidR="00EF62DA">
        <w:rPr>
          <w:b/>
          <w:lang w:val="en-GB"/>
        </w:rPr>
        <w:t xml:space="preserve"> in conjunction with a</w:t>
      </w:r>
      <w:r w:rsidR="004B57E5">
        <w:rPr>
          <w:b/>
          <w:lang w:val="en-GB"/>
        </w:rPr>
        <w:t>rticle 6, paragraph 10,</w:t>
      </w:r>
      <w:r w:rsidRPr="00695D7A">
        <w:rPr>
          <w:b/>
          <w:lang w:val="en-GB"/>
        </w:rPr>
        <w:t xml:space="preserve"> of the Convention</w:t>
      </w:r>
    </w:p>
    <w:p w:rsidR="00BD5DEC" w:rsidRPr="001A20E3" w:rsidRDefault="0050725B" w:rsidP="00296F5C">
      <w:pPr>
        <w:pStyle w:val="SingleTxtG"/>
        <w:numPr>
          <w:ilvl w:val="0"/>
          <w:numId w:val="3"/>
        </w:numPr>
        <w:ind w:left="1134" w:right="0" w:firstLine="0"/>
        <w:rPr>
          <w:rStyle w:val="st"/>
          <w:lang w:val="en-GB"/>
        </w:rPr>
      </w:pPr>
      <w:r w:rsidRPr="001A20E3">
        <w:rPr>
          <w:rStyle w:val="st"/>
          <w:lang w:val="en-GB"/>
        </w:rPr>
        <w:t>The communicant submits that</w:t>
      </w:r>
      <w:r w:rsidR="00F06C9C" w:rsidRPr="001A20E3">
        <w:rPr>
          <w:rStyle w:val="st"/>
          <w:lang w:val="en-GB"/>
        </w:rPr>
        <w:t xml:space="preserve">, by virtue of the 2006 Covenant, </w:t>
      </w:r>
      <w:r w:rsidRPr="001A20E3">
        <w:rPr>
          <w:rStyle w:val="st"/>
          <w:lang w:val="en-GB"/>
        </w:rPr>
        <w:t xml:space="preserve">the </w:t>
      </w:r>
      <w:r w:rsidR="00F06C9C" w:rsidRPr="001A20E3">
        <w:rPr>
          <w:rStyle w:val="st"/>
          <w:lang w:val="en-GB"/>
        </w:rPr>
        <w:t xml:space="preserve">Party concerned was bound to extend the lifetime of the Borssele NPP until 2033, or else to potentially pay significant compensation to the operator. </w:t>
      </w:r>
      <w:r w:rsidR="00817477">
        <w:rPr>
          <w:rStyle w:val="st"/>
          <w:lang w:val="en-GB"/>
        </w:rPr>
        <w:t xml:space="preserve">It claims that during </w:t>
      </w:r>
      <w:r w:rsidR="00F06C9C" w:rsidRPr="001A20E3">
        <w:rPr>
          <w:rStyle w:val="st"/>
          <w:lang w:val="en-GB"/>
        </w:rPr>
        <w:t xml:space="preserve">the licensing decision the </w:t>
      </w:r>
      <w:r w:rsidRPr="001A20E3">
        <w:rPr>
          <w:rStyle w:val="st"/>
          <w:lang w:val="en-GB"/>
        </w:rPr>
        <w:t xml:space="preserve">zero option </w:t>
      </w:r>
      <w:r w:rsidR="00A8276E">
        <w:rPr>
          <w:rStyle w:val="st"/>
          <w:lang w:val="en-GB"/>
        </w:rPr>
        <w:t xml:space="preserve">(i.e. to not extend the lifetime of the NPP beyond 2013) </w:t>
      </w:r>
      <w:r w:rsidRPr="001A20E3">
        <w:rPr>
          <w:rStyle w:val="st"/>
          <w:lang w:val="en-GB"/>
        </w:rPr>
        <w:t xml:space="preserve">was </w:t>
      </w:r>
      <w:r w:rsidR="00817477">
        <w:rPr>
          <w:rStyle w:val="st"/>
          <w:lang w:val="en-GB"/>
        </w:rPr>
        <w:t xml:space="preserve">therefore </w:t>
      </w:r>
      <w:r w:rsidRPr="001A20E3">
        <w:rPr>
          <w:rStyle w:val="st"/>
          <w:lang w:val="en-GB"/>
        </w:rPr>
        <w:t xml:space="preserve">not considered. It </w:t>
      </w:r>
      <w:r w:rsidR="00817477">
        <w:rPr>
          <w:rStyle w:val="st"/>
          <w:lang w:val="en-GB"/>
        </w:rPr>
        <w:t xml:space="preserve">submits </w:t>
      </w:r>
      <w:r w:rsidRPr="001A20E3">
        <w:rPr>
          <w:rStyle w:val="st"/>
          <w:lang w:val="en-GB"/>
        </w:rPr>
        <w:t xml:space="preserve">that the 2006 </w:t>
      </w:r>
      <w:r w:rsidR="00AC4E3B" w:rsidRPr="001A20E3">
        <w:rPr>
          <w:rStyle w:val="st"/>
          <w:lang w:val="en-GB"/>
        </w:rPr>
        <w:t>C</w:t>
      </w:r>
      <w:r w:rsidRPr="001A20E3">
        <w:rPr>
          <w:rStyle w:val="st"/>
          <w:lang w:val="en-GB"/>
        </w:rPr>
        <w:t xml:space="preserve">ovenant was part of a tiered decision-making procedure and should have been preceded by public participation. </w:t>
      </w:r>
    </w:p>
    <w:p w:rsidR="00DA2ED2" w:rsidRPr="001A20E3" w:rsidRDefault="00BD5DEC" w:rsidP="00296F5C">
      <w:pPr>
        <w:pStyle w:val="SingleTxtG"/>
        <w:numPr>
          <w:ilvl w:val="0"/>
          <w:numId w:val="3"/>
        </w:numPr>
        <w:ind w:left="1134" w:right="0" w:firstLine="0"/>
        <w:rPr>
          <w:rStyle w:val="st"/>
          <w:lang w:val="en-GB"/>
        </w:rPr>
      </w:pPr>
      <w:r w:rsidRPr="001A20E3">
        <w:rPr>
          <w:rStyle w:val="st"/>
          <w:lang w:val="en-GB"/>
        </w:rPr>
        <w:t>With respect to the 2006 Covenant</w:t>
      </w:r>
      <w:r w:rsidR="00824B3D" w:rsidRPr="001A20E3">
        <w:rPr>
          <w:rStyle w:val="st"/>
          <w:lang w:val="en-GB"/>
        </w:rPr>
        <w:t>, the</w:t>
      </w:r>
      <w:r w:rsidR="00256BD3" w:rsidRPr="001A20E3">
        <w:rPr>
          <w:rStyle w:val="st"/>
          <w:lang w:val="en-GB"/>
        </w:rPr>
        <w:t xml:space="preserve"> Party concerned submits that, rather than forming part of a decision on extension, the </w:t>
      </w:r>
      <w:r w:rsidR="00AC4E3B" w:rsidRPr="001A20E3">
        <w:rPr>
          <w:rStyle w:val="st"/>
          <w:lang w:val="en-GB"/>
        </w:rPr>
        <w:t>C</w:t>
      </w:r>
      <w:r w:rsidR="00256BD3" w:rsidRPr="001A20E3">
        <w:rPr>
          <w:rStyle w:val="st"/>
          <w:lang w:val="en-GB"/>
        </w:rPr>
        <w:t xml:space="preserve">ovenant in fact </w:t>
      </w:r>
      <w:r w:rsidR="00C51BEB">
        <w:rPr>
          <w:rStyle w:val="st"/>
          <w:lang w:val="en-GB"/>
        </w:rPr>
        <w:t>was</w:t>
      </w:r>
      <w:r w:rsidR="00C51BEB" w:rsidRPr="001A20E3">
        <w:rPr>
          <w:rStyle w:val="st"/>
          <w:lang w:val="en-GB"/>
        </w:rPr>
        <w:t xml:space="preserve"> </w:t>
      </w:r>
      <w:r w:rsidR="00256BD3" w:rsidRPr="001A20E3">
        <w:rPr>
          <w:rStyle w:val="st"/>
          <w:lang w:val="en-GB"/>
        </w:rPr>
        <w:t xml:space="preserve">an agreement between the Party concerned and the operator to limit the duration of its operating time, as the previous </w:t>
      </w:r>
      <w:r w:rsidR="0046030A">
        <w:rPr>
          <w:rStyle w:val="st"/>
          <w:lang w:val="en-GB"/>
        </w:rPr>
        <w:t>licence</w:t>
      </w:r>
      <w:r w:rsidR="00256BD3" w:rsidRPr="001A20E3">
        <w:rPr>
          <w:rStyle w:val="st"/>
          <w:lang w:val="en-GB"/>
        </w:rPr>
        <w:t xml:space="preserve"> had been issued for an indefinite period.</w:t>
      </w:r>
      <w:r w:rsidR="0050725B" w:rsidRPr="001A20E3">
        <w:rPr>
          <w:rStyle w:val="st"/>
          <w:lang w:val="en-GB"/>
        </w:rPr>
        <w:t xml:space="preserve"> </w:t>
      </w:r>
    </w:p>
    <w:p w:rsidR="00677E06" w:rsidRPr="001A20E3" w:rsidRDefault="00824B3D" w:rsidP="00695D7A">
      <w:pPr>
        <w:numPr>
          <w:ilvl w:val="0"/>
          <w:numId w:val="3"/>
        </w:numPr>
        <w:spacing w:after="120" w:line="240" w:lineRule="auto"/>
        <w:ind w:left="1134" w:firstLine="0"/>
        <w:jc w:val="both"/>
      </w:pPr>
      <w:r w:rsidRPr="001A20E3">
        <w:t>In</w:t>
      </w:r>
      <w:r w:rsidR="00677E06" w:rsidRPr="001A20E3">
        <w:t xml:space="preserve"> order to meet the requirements of article 6, paragraph 4, </w:t>
      </w:r>
      <w:r w:rsidR="00342B5C">
        <w:t xml:space="preserve">public </w:t>
      </w:r>
      <w:r w:rsidR="00677E06" w:rsidRPr="001A20E3">
        <w:t>participation must take place “at an early stage of the decision-making process, when all options are open and when due account can be taken of the outcome of the public participation” (</w:t>
      </w:r>
      <w:r w:rsidR="00256BD3" w:rsidRPr="001A20E3">
        <w:t xml:space="preserve">findings on communication </w:t>
      </w:r>
      <w:r w:rsidR="00677E06" w:rsidRPr="001A20E3">
        <w:t>ACCC/C/20</w:t>
      </w:r>
      <w:r w:rsidR="00677E06" w:rsidRPr="001A20E3">
        <w:rPr>
          <w:bCs/>
        </w:rPr>
        <w:t>08/26 (Austria))</w:t>
      </w:r>
      <w:r w:rsidR="00677E06" w:rsidRPr="001A20E3">
        <w:t>.</w:t>
      </w:r>
      <w:r w:rsidR="00677E06" w:rsidRPr="001A20E3">
        <w:rPr>
          <w:rStyle w:val="FootnoteReference"/>
        </w:rPr>
        <w:footnoteReference w:id="83"/>
      </w:r>
      <w:r w:rsidR="00677E06" w:rsidRPr="001A20E3">
        <w:t xml:space="preserve"> </w:t>
      </w:r>
      <w:r w:rsidR="00B337CF">
        <w:t>As the Committee held in its findings on communication ACCC/C/2007/22 (France), “t</w:t>
      </w:r>
      <w:r w:rsidR="00B337CF" w:rsidRPr="009B52A9">
        <w:t>his implies that when public participation is provided for, the permit authority must be neither formally nor informally prevented from fully turning down an application on substantive or procedural grounds. If the scope of the permitting authority is already limited due to earlier decisions, then the Party concerned should have also ensured public participation during the earlier stages of decision-making</w:t>
      </w:r>
      <w:r w:rsidR="00B337CF">
        <w:t>.”</w:t>
      </w:r>
      <w:r w:rsidR="00B337CF">
        <w:rPr>
          <w:rStyle w:val="FootnoteReference"/>
        </w:rPr>
        <w:footnoteReference w:id="84"/>
      </w:r>
      <w:r w:rsidR="00B337CF" w:rsidRPr="009B52A9">
        <w:t xml:space="preserve"> </w:t>
      </w:r>
    </w:p>
    <w:p w:rsidR="00DE1584" w:rsidRPr="001A20E3" w:rsidRDefault="00A47374" w:rsidP="00897625">
      <w:pPr>
        <w:pStyle w:val="SingleTxtG"/>
        <w:numPr>
          <w:ilvl w:val="0"/>
          <w:numId w:val="3"/>
        </w:numPr>
        <w:ind w:left="1134" w:right="0" w:firstLine="0"/>
        <w:rPr>
          <w:lang w:val="en-GB"/>
        </w:rPr>
      </w:pPr>
      <w:r w:rsidRPr="00695D7A">
        <w:rPr>
          <w:lang w:val="en-GB"/>
        </w:rPr>
        <w:t xml:space="preserve"> </w:t>
      </w:r>
      <w:r w:rsidR="007D6B2A" w:rsidRPr="00695D7A">
        <w:rPr>
          <w:lang w:val="en-GB"/>
        </w:rPr>
        <w:t xml:space="preserve">The Committee </w:t>
      </w:r>
      <w:r w:rsidR="00DE1584" w:rsidRPr="00695D7A">
        <w:rPr>
          <w:lang w:val="en-GB"/>
        </w:rPr>
        <w:t>notes that t</w:t>
      </w:r>
      <w:r w:rsidR="00D0681E" w:rsidRPr="00695D7A">
        <w:rPr>
          <w:lang w:val="en-GB"/>
        </w:rPr>
        <w:t xml:space="preserve">he </w:t>
      </w:r>
      <w:r w:rsidR="00824B3D" w:rsidRPr="00695D7A">
        <w:rPr>
          <w:lang w:val="en-GB"/>
        </w:rPr>
        <w:t xml:space="preserve">2006 </w:t>
      </w:r>
      <w:r w:rsidR="00AC4E3B" w:rsidRPr="00695D7A">
        <w:rPr>
          <w:lang w:val="en-GB"/>
        </w:rPr>
        <w:t>C</w:t>
      </w:r>
      <w:r w:rsidR="00D0681E" w:rsidRPr="00695D7A">
        <w:rPr>
          <w:lang w:val="en-GB"/>
        </w:rPr>
        <w:t xml:space="preserve">ovenant </w:t>
      </w:r>
      <w:r w:rsidR="00677E06" w:rsidRPr="00695D7A">
        <w:rPr>
          <w:lang w:val="en-GB"/>
        </w:rPr>
        <w:t xml:space="preserve">stipulates that the </w:t>
      </w:r>
      <w:r w:rsidR="006F0B77" w:rsidRPr="00695D7A">
        <w:rPr>
          <w:lang w:val="en-GB"/>
        </w:rPr>
        <w:t>G</w:t>
      </w:r>
      <w:r w:rsidR="00313422" w:rsidRPr="00695D7A">
        <w:rPr>
          <w:lang w:val="en-GB"/>
        </w:rPr>
        <w:t>overnment</w:t>
      </w:r>
      <w:r w:rsidR="00677E06" w:rsidRPr="00695D7A">
        <w:rPr>
          <w:lang w:val="en-GB"/>
        </w:rPr>
        <w:t xml:space="preserve"> shall refrain from any steps that prevent the operation of Borssele NPP until 2033</w:t>
      </w:r>
      <w:r w:rsidR="00CD51A4" w:rsidRPr="00695D7A">
        <w:rPr>
          <w:lang w:val="en-GB"/>
        </w:rPr>
        <w:t xml:space="preserve"> and establishes that the </w:t>
      </w:r>
      <w:r w:rsidR="006F0B77" w:rsidRPr="00695D7A">
        <w:rPr>
          <w:lang w:val="en-GB"/>
        </w:rPr>
        <w:t>G</w:t>
      </w:r>
      <w:r w:rsidR="00CD51A4" w:rsidRPr="00695D7A">
        <w:rPr>
          <w:lang w:val="en-GB"/>
        </w:rPr>
        <w:t>overnment is required</w:t>
      </w:r>
      <w:r w:rsidR="00677E06" w:rsidRPr="00695D7A">
        <w:rPr>
          <w:lang w:val="en-GB"/>
        </w:rPr>
        <w:t xml:space="preserve"> to compensate </w:t>
      </w:r>
      <w:r w:rsidR="00CD51A4" w:rsidRPr="00695D7A">
        <w:rPr>
          <w:lang w:val="en-GB"/>
        </w:rPr>
        <w:t xml:space="preserve">the operator if it fails to do so (see para. </w:t>
      </w:r>
      <w:r w:rsidR="00CD51A4" w:rsidRPr="00695D7A">
        <w:rPr>
          <w:lang w:val="en-GB"/>
        </w:rPr>
        <w:fldChar w:fldCharType="begin"/>
      </w:r>
      <w:r w:rsidR="00CD51A4" w:rsidRPr="00695D7A">
        <w:rPr>
          <w:lang w:val="en-GB"/>
        </w:rPr>
        <w:instrText xml:space="preserve"> REF _Ref499299821 \r \h </w:instrText>
      </w:r>
      <w:r w:rsidR="00D2430C" w:rsidRPr="001A20E3">
        <w:rPr>
          <w:lang w:val="en-GB"/>
        </w:rPr>
        <w:instrText xml:space="preserve"> \* MERGEFORMAT </w:instrText>
      </w:r>
      <w:r w:rsidR="00CD51A4" w:rsidRPr="00695D7A">
        <w:rPr>
          <w:lang w:val="en-GB"/>
        </w:rPr>
      </w:r>
      <w:r w:rsidR="00CD51A4" w:rsidRPr="00695D7A">
        <w:rPr>
          <w:lang w:val="en-GB"/>
        </w:rPr>
        <w:fldChar w:fldCharType="separate"/>
      </w:r>
      <w:r w:rsidR="0056000C">
        <w:rPr>
          <w:cs/>
          <w:lang w:val="en-GB"/>
        </w:rPr>
        <w:t>‎</w:t>
      </w:r>
      <w:r w:rsidR="0056000C">
        <w:rPr>
          <w:lang w:val="en-GB"/>
        </w:rPr>
        <w:t>23</w:t>
      </w:r>
      <w:r w:rsidR="00CD51A4" w:rsidRPr="00695D7A">
        <w:rPr>
          <w:lang w:val="en-GB"/>
        </w:rPr>
        <w:fldChar w:fldCharType="end"/>
      </w:r>
      <w:r w:rsidR="00CD51A4" w:rsidRPr="00695D7A">
        <w:rPr>
          <w:lang w:val="en-GB"/>
        </w:rPr>
        <w:t xml:space="preserve"> above)</w:t>
      </w:r>
      <w:r w:rsidR="00677E06" w:rsidRPr="00695D7A">
        <w:rPr>
          <w:lang w:val="en-GB"/>
        </w:rPr>
        <w:t>.</w:t>
      </w:r>
      <w:r w:rsidR="00571A50" w:rsidRPr="00695D7A">
        <w:rPr>
          <w:lang w:val="en-GB"/>
        </w:rPr>
        <w:t xml:space="preserve"> </w:t>
      </w:r>
      <w:r w:rsidR="00ED0C35" w:rsidRPr="001A20E3">
        <w:rPr>
          <w:lang w:val="en-GB"/>
        </w:rPr>
        <w:t xml:space="preserve">The Party concerned submits that </w:t>
      </w:r>
      <w:r w:rsidRPr="00695D7A">
        <w:rPr>
          <w:lang w:val="en-GB"/>
        </w:rPr>
        <w:t xml:space="preserve">it was already potentially liable </w:t>
      </w:r>
      <w:r w:rsidR="00B337CF">
        <w:rPr>
          <w:lang w:val="en-GB"/>
        </w:rPr>
        <w:t xml:space="preserve">under the European Convention on Human Rights </w:t>
      </w:r>
      <w:r w:rsidRPr="00695D7A">
        <w:rPr>
          <w:lang w:val="en-GB"/>
        </w:rPr>
        <w:t>to pay</w:t>
      </w:r>
      <w:r w:rsidR="00D2430C" w:rsidRPr="00695D7A">
        <w:rPr>
          <w:lang w:val="en-GB"/>
        </w:rPr>
        <w:t xml:space="preserve"> compensation should it have terminated the licence and the 2006 Covenant accordingly did not alter its position. The </w:t>
      </w:r>
      <w:r w:rsidR="00313422" w:rsidRPr="00695D7A">
        <w:rPr>
          <w:lang w:val="en-GB"/>
        </w:rPr>
        <w:t xml:space="preserve">Committee </w:t>
      </w:r>
      <w:r w:rsidR="00D2430C" w:rsidRPr="00695D7A">
        <w:rPr>
          <w:lang w:val="en-GB"/>
        </w:rPr>
        <w:t>considers</w:t>
      </w:r>
      <w:r w:rsidR="00313422" w:rsidRPr="00695D7A">
        <w:rPr>
          <w:lang w:val="en-GB"/>
        </w:rPr>
        <w:t xml:space="preserve"> that </w:t>
      </w:r>
      <w:r w:rsidR="00571A50" w:rsidRPr="00695D7A">
        <w:rPr>
          <w:lang w:val="en-GB"/>
        </w:rPr>
        <w:t xml:space="preserve">whether or not </w:t>
      </w:r>
      <w:r w:rsidR="00D2430C" w:rsidRPr="00695D7A">
        <w:rPr>
          <w:lang w:val="en-GB"/>
        </w:rPr>
        <w:t xml:space="preserve">a claim by </w:t>
      </w:r>
      <w:r w:rsidR="00CD51A4" w:rsidRPr="00695D7A">
        <w:rPr>
          <w:lang w:val="en-GB"/>
        </w:rPr>
        <w:t>the NPP operator</w:t>
      </w:r>
      <w:r w:rsidR="00571A50" w:rsidRPr="00695D7A">
        <w:rPr>
          <w:lang w:val="en-GB"/>
        </w:rPr>
        <w:t xml:space="preserve"> </w:t>
      </w:r>
      <w:r w:rsidR="00D2430C" w:rsidRPr="00695D7A">
        <w:rPr>
          <w:lang w:val="en-GB"/>
        </w:rPr>
        <w:t xml:space="preserve">for compensation </w:t>
      </w:r>
      <w:r w:rsidR="00571A50" w:rsidRPr="00695D7A">
        <w:rPr>
          <w:lang w:val="en-GB"/>
        </w:rPr>
        <w:t xml:space="preserve">could have </w:t>
      </w:r>
      <w:r w:rsidR="00817477">
        <w:rPr>
          <w:lang w:val="en-GB"/>
        </w:rPr>
        <w:t>succeeded</w:t>
      </w:r>
      <w:r w:rsidR="00CD51A4" w:rsidRPr="00695D7A">
        <w:rPr>
          <w:lang w:val="en-GB"/>
        </w:rPr>
        <w:t xml:space="preserve"> prior to concluding the agreement</w:t>
      </w:r>
      <w:r w:rsidR="00571A50" w:rsidRPr="00695D7A">
        <w:rPr>
          <w:lang w:val="en-GB"/>
        </w:rPr>
        <w:t>,</w:t>
      </w:r>
      <w:r w:rsidR="00CD51A4" w:rsidRPr="00695D7A">
        <w:rPr>
          <w:rStyle w:val="FootnoteReference"/>
          <w:lang w:val="en-GB"/>
        </w:rPr>
        <w:footnoteReference w:id="85"/>
      </w:r>
      <w:r w:rsidR="00571A50" w:rsidRPr="00695D7A">
        <w:rPr>
          <w:lang w:val="en-GB"/>
        </w:rPr>
        <w:t xml:space="preserve"> the 2006 </w:t>
      </w:r>
      <w:r w:rsidR="00F35027">
        <w:rPr>
          <w:lang w:val="en-GB"/>
        </w:rPr>
        <w:t xml:space="preserve">Covenant </w:t>
      </w:r>
      <w:r w:rsidR="00D2430C" w:rsidRPr="00695D7A">
        <w:rPr>
          <w:lang w:val="en-GB"/>
        </w:rPr>
        <w:t>created</w:t>
      </w:r>
      <w:r w:rsidR="00571A50" w:rsidRPr="00695D7A">
        <w:rPr>
          <w:lang w:val="en-GB"/>
        </w:rPr>
        <w:t xml:space="preserve"> a new, enforceable obligation on the public authorities not </w:t>
      </w:r>
      <w:r w:rsidR="006F0B77" w:rsidRPr="00695D7A">
        <w:rPr>
          <w:lang w:val="en-GB"/>
        </w:rPr>
        <w:t xml:space="preserve">to </w:t>
      </w:r>
      <w:r w:rsidR="00571A50" w:rsidRPr="00695D7A">
        <w:rPr>
          <w:lang w:val="en-GB"/>
        </w:rPr>
        <w:t xml:space="preserve">interfere with the </w:t>
      </w:r>
      <w:r w:rsidR="006F0B77" w:rsidRPr="00695D7A">
        <w:rPr>
          <w:lang w:val="en-GB"/>
        </w:rPr>
        <w:t>NPP’s</w:t>
      </w:r>
      <w:r w:rsidR="00571A50" w:rsidRPr="00695D7A">
        <w:rPr>
          <w:lang w:val="en-GB"/>
        </w:rPr>
        <w:t xml:space="preserve"> operation until 2033</w:t>
      </w:r>
      <w:r w:rsidR="00AB7811" w:rsidRPr="001A20E3">
        <w:rPr>
          <w:lang w:val="en-GB"/>
        </w:rPr>
        <w:t>.</w:t>
      </w:r>
      <w:r w:rsidR="00313422" w:rsidRPr="001A20E3">
        <w:rPr>
          <w:lang w:val="en-GB"/>
        </w:rPr>
        <w:t xml:space="preserve"> The Committee further </w:t>
      </w:r>
      <w:r w:rsidR="00A0029B" w:rsidRPr="001A20E3">
        <w:rPr>
          <w:lang w:val="en-GB"/>
        </w:rPr>
        <w:lastRenderedPageBreak/>
        <w:t>considers</w:t>
      </w:r>
      <w:r w:rsidR="00313422" w:rsidRPr="001A20E3">
        <w:rPr>
          <w:lang w:val="en-GB"/>
        </w:rPr>
        <w:t xml:space="preserve"> that even </w:t>
      </w:r>
      <w:r w:rsidR="00883E6E">
        <w:rPr>
          <w:lang w:val="en-GB"/>
        </w:rPr>
        <w:t xml:space="preserve">if, </w:t>
      </w:r>
      <w:r w:rsidR="00B337CF">
        <w:rPr>
          <w:lang w:val="en-GB"/>
        </w:rPr>
        <w:t>as the Party asserts</w:t>
      </w:r>
      <w:r w:rsidR="00883E6E">
        <w:rPr>
          <w:lang w:val="en-GB"/>
        </w:rPr>
        <w:t>,</w:t>
      </w:r>
      <w:r w:rsidR="00B337CF">
        <w:rPr>
          <w:lang w:val="en-GB"/>
        </w:rPr>
        <w:t xml:space="preserve"> </w:t>
      </w:r>
      <w:r w:rsidR="00313422" w:rsidRPr="001A20E3">
        <w:rPr>
          <w:lang w:val="en-GB"/>
        </w:rPr>
        <w:t xml:space="preserve">the 2006 Covenant </w:t>
      </w:r>
      <w:r w:rsidR="00CD51A4" w:rsidRPr="001A20E3">
        <w:rPr>
          <w:lang w:val="en-GB"/>
        </w:rPr>
        <w:t>formally</w:t>
      </w:r>
      <w:r w:rsidR="00313422" w:rsidRPr="001A20E3">
        <w:rPr>
          <w:lang w:val="en-GB"/>
        </w:rPr>
        <w:t xml:space="preserve"> limited the </w:t>
      </w:r>
      <w:r w:rsidR="00A0029B" w:rsidRPr="001A20E3">
        <w:rPr>
          <w:lang w:val="en-GB"/>
        </w:rPr>
        <w:t xml:space="preserve">duration of the </w:t>
      </w:r>
      <w:r w:rsidR="0046030A">
        <w:rPr>
          <w:lang w:val="en-GB"/>
        </w:rPr>
        <w:t>licence</w:t>
      </w:r>
      <w:r w:rsidR="00313422" w:rsidRPr="001A20E3">
        <w:rPr>
          <w:lang w:val="en-GB"/>
        </w:rPr>
        <w:t xml:space="preserve"> from an indefinite period to 2033, </w:t>
      </w:r>
      <w:r w:rsidR="00B337CF">
        <w:rPr>
          <w:lang w:val="en-GB"/>
        </w:rPr>
        <w:t>it accordingly</w:t>
      </w:r>
      <w:r w:rsidR="00313422" w:rsidRPr="001A20E3">
        <w:rPr>
          <w:lang w:val="en-GB"/>
        </w:rPr>
        <w:t xml:space="preserve"> </w:t>
      </w:r>
      <w:r w:rsidR="00EA2030">
        <w:rPr>
          <w:lang w:val="en-GB"/>
        </w:rPr>
        <w:t xml:space="preserve">set </w:t>
      </w:r>
      <w:r w:rsidR="00BB3EC7">
        <w:rPr>
          <w:lang w:val="en-GB"/>
        </w:rPr>
        <w:t>the date</w:t>
      </w:r>
      <w:r w:rsidR="00313422" w:rsidRPr="001A20E3">
        <w:rPr>
          <w:lang w:val="en-GB"/>
        </w:rPr>
        <w:t xml:space="preserve"> on when the plant was to cease operation</w:t>
      </w:r>
      <w:r w:rsidR="00CD51A4" w:rsidRPr="001A20E3">
        <w:rPr>
          <w:lang w:val="en-GB"/>
        </w:rPr>
        <w:t xml:space="preserve">, which was an important aspect of the decision-making procedure </w:t>
      </w:r>
      <w:r w:rsidR="00B337CF">
        <w:rPr>
          <w:lang w:val="en-GB"/>
        </w:rPr>
        <w:t>concerning the NPP</w:t>
      </w:r>
      <w:r w:rsidR="00313422" w:rsidRPr="001A20E3">
        <w:rPr>
          <w:lang w:val="en-GB"/>
        </w:rPr>
        <w:t>.</w:t>
      </w:r>
    </w:p>
    <w:p w:rsidR="00011690" w:rsidRPr="00695D7A" w:rsidRDefault="00011690" w:rsidP="00296F5C">
      <w:pPr>
        <w:pStyle w:val="SingleTxtG"/>
        <w:numPr>
          <w:ilvl w:val="0"/>
          <w:numId w:val="3"/>
        </w:numPr>
        <w:ind w:left="1134" w:right="0" w:firstLine="0"/>
        <w:rPr>
          <w:lang w:val="en-GB"/>
        </w:rPr>
      </w:pPr>
      <w:r w:rsidRPr="001A20E3">
        <w:rPr>
          <w:lang w:val="en-GB"/>
        </w:rPr>
        <w:t xml:space="preserve">The Party concerned does not dispute that the amendment to the Nuclear Energy Act </w:t>
      </w:r>
      <w:r w:rsidR="00A0029B" w:rsidRPr="001A20E3">
        <w:rPr>
          <w:lang w:val="en-GB"/>
        </w:rPr>
        <w:t xml:space="preserve">dated 1 July 2010 </w:t>
      </w:r>
      <w:r w:rsidR="00817477">
        <w:rPr>
          <w:lang w:val="en-GB"/>
        </w:rPr>
        <w:t>resulted from</w:t>
      </w:r>
      <w:r w:rsidRPr="001A20E3">
        <w:rPr>
          <w:lang w:val="en-GB"/>
        </w:rPr>
        <w:t xml:space="preserve"> the 2006 Covenant.</w:t>
      </w:r>
      <w:r w:rsidRPr="001A20E3">
        <w:rPr>
          <w:rStyle w:val="FootnoteReference"/>
          <w:lang w:val="en-GB"/>
        </w:rPr>
        <w:footnoteReference w:id="86"/>
      </w:r>
      <w:r w:rsidRPr="001A20E3">
        <w:rPr>
          <w:lang w:val="en-GB"/>
        </w:rPr>
        <w:t xml:space="preserve"> The </w:t>
      </w:r>
      <w:r w:rsidR="00ED0C35" w:rsidRPr="001A20E3">
        <w:rPr>
          <w:lang w:val="en-GB"/>
        </w:rPr>
        <w:t>July 2010</w:t>
      </w:r>
      <w:r w:rsidRPr="001A20E3">
        <w:rPr>
          <w:lang w:val="en-GB"/>
        </w:rPr>
        <w:t xml:space="preserve"> amendment </w:t>
      </w:r>
      <w:r w:rsidR="00ED0C35" w:rsidRPr="001A20E3">
        <w:rPr>
          <w:lang w:val="en-GB"/>
        </w:rPr>
        <w:t xml:space="preserve">to the Nuclear Energy Act </w:t>
      </w:r>
      <w:r w:rsidRPr="001A20E3">
        <w:rPr>
          <w:lang w:val="en-GB"/>
        </w:rPr>
        <w:t>specifically formalize</w:t>
      </w:r>
      <w:r w:rsidR="00A0029B" w:rsidRPr="001A20E3">
        <w:rPr>
          <w:lang w:val="en-GB"/>
        </w:rPr>
        <w:t>d</w:t>
      </w:r>
      <w:r w:rsidRPr="001A20E3">
        <w:rPr>
          <w:lang w:val="en-GB"/>
        </w:rPr>
        <w:t xml:space="preserve"> the lifetime duration of the NPP Borssele and establishe</w:t>
      </w:r>
      <w:r w:rsidR="00A0029B" w:rsidRPr="001A20E3">
        <w:rPr>
          <w:lang w:val="en-GB"/>
        </w:rPr>
        <w:t>d</w:t>
      </w:r>
      <w:r w:rsidRPr="001A20E3">
        <w:rPr>
          <w:lang w:val="en-GB"/>
        </w:rPr>
        <w:t xml:space="preserve"> the parameters for the </w:t>
      </w:r>
      <w:r w:rsidR="0046030A">
        <w:rPr>
          <w:lang w:val="en-GB"/>
        </w:rPr>
        <w:t>licence</w:t>
      </w:r>
      <w:r w:rsidRPr="001A20E3">
        <w:rPr>
          <w:lang w:val="en-GB"/>
        </w:rPr>
        <w:t xml:space="preserve"> application to amend the Safety Report to adjust the design lifetime to 2033 as well. The Committee considers that this in turn culminated </w:t>
      </w:r>
      <w:r w:rsidR="00817477">
        <w:rPr>
          <w:lang w:val="en-GB"/>
        </w:rPr>
        <w:t xml:space="preserve">in the </w:t>
      </w:r>
      <w:r w:rsidRPr="001A20E3">
        <w:rPr>
          <w:lang w:val="en-GB"/>
        </w:rPr>
        <w:t xml:space="preserve">18 March 2013 </w:t>
      </w:r>
      <w:r w:rsidR="00817477">
        <w:rPr>
          <w:lang w:val="en-GB"/>
        </w:rPr>
        <w:t xml:space="preserve">licensing decision through </w:t>
      </w:r>
      <w:r w:rsidRPr="001A20E3">
        <w:rPr>
          <w:lang w:val="en-GB"/>
        </w:rPr>
        <w:t xml:space="preserve">which the Ministry of Economic Affairs granted the </w:t>
      </w:r>
      <w:r w:rsidR="0046030A">
        <w:rPr>
          <w:lang w:val="en-GB"/>
        </w:rPr>
        <w:t>licence</w:t>
      </w:r>
      <w:r w:rsidRPr="001A20E3">
        <w:rPr>
          <w:lang w:val="en-GB"/>
        </w:rPr>
        <w:t xml:space="preserve"> for the extension of the design lifetime of the Borssele NPP. </w:t>
      </w:r>
    </w:p>
    <w:p w:rsidR="00F926EB" w:rsidRDefault="00F66360" w:rsidP="00897625">
      <w:pPr>
        <w:pStyle w:val="SingleTxtG"/>
        <w:numPr>
          <w:ilvl w:val="0"/>
          <w:numId w:val="3"/>
        </w:numPr>
        <w:ind w:left="1134" w:right="0" w:firstLine="0"/>
        <w:rPr>
          <w:lang w:val="en-GB"/>
        </w:rPr>
      </w:pPr>
      <w:r w:rsidRPr="00695D7A">
        <w:rPr>
          <w:lang w:val="en-GB"/>
        </w:rPr>
        <w:t xml:space="preserve">The communicant submits in that regard that prior to the conclusion of the </w:t>
      </w:r>
      <w:r w:rsidR="00BB3EC7">
        <w:rPr>
          <w:lang w:val="en-GB"/>
        </w:rPr>
        <w:t xml:space="preserve">2006 Covenant </w:t>
      </w:r>
      <w:r w:rsidRPr="00695D7A">
        <w:rPr>
          <w:lang w:val="en-GB"/>
        </w:rPr>
        <w:t>and the 2010 amendment</w:t>
      </w:r>
      <w:r w:rsidR="00BB3EC7">
        <w:rPr>
          <w:lang w:val="en-GB"/>
        </w:rPr>
        <w:t xml:space="preserve"> of the Nuclear Energy Act</w:t>
      </w:r>
      <w:r w:rsidRPr="00695D7A">
        <w:rPr>
          <w:lang w:val="en-GB"/>
        </w:rPr>
        <w:t>, only selected stakeholders were invited by Parliament to comment and this has not been disputed by the Party concerned.</w:t>
      </w:r>
      <w:r w:rsidRPr="00695D7A">
        <w:rPr>
          <w:rStyle w:val="FootnoteReference"/>
          <w:lang w:val="en-GB"/>
        </w:rPr>
        <w:footnoteReference w:id="87"/>
      </w:r>
      <w:r w:rsidRPr="00695D7A">
        <w:rPr>
          <w:lang w:val="en-GB"/>
        </w:rPr>
        <w:t xml:space="preserve"> As the Committee held in its findings on communication ACCC/C/2010/51 (Romania), engagement of stakeholders selected on a discretionary basis cannot be </w:t>
      </w:r>
      <w:r w:rsidR="00897625" w:rsidRPr="00695D7A">
        <w:rPr>
          <w:lang w:val="en-GB"/>
        </w:rPr>
        <w:t>considered</w:t>
      </w:r>
      <w:r w:rsidR="00897625">
        <w:rPr>
          <w:lang w:val="en-GB"/>
        </w:rPr>
        <w:t xml:space="preserve"> to meet the requirements for </w:t>
      </w:r>
      <w:r w:rsidRPr="00695D7A">
        <w:rPr>
          <w:lang w:val="en-GB"/>
        </w:rPr>
        <w:t>public participation under the Convention.</w:t>
      </w:r>
      <w:r w:rsidRPr="00695D7A">
        <w:rPr>
          <w:vertAlign w:val="superscript"/>
          <w:lang w:val="en-GB"/>
        </w:rPr>
        <w:footnoteReference w:id="88"/>
      </w:r>
      <w:r w:rsidRPr="00695D7A">
        <w:rPr>
          <w:lang w:val="en-GB"/>
        </w:rPr>
        <w:t xml:space="preserve"> </w:t>
      </w:r>
    </w:p>
    <w:p w:rsidR="003F6597" w:rsidRDefault="003F6597" w:rsidP="00E62030">
      <w:pPr>
        <w:pStyle w:val="SingleTxtG"/>
        <w:numPr>
          <w:ilvl w:val="0"/>
          <w:numId w:val="3"/>
        </w:numPr>
        <w:ind w:left="1134" w:right="0" w:firstLine="0"/>
        <w:rPr>
          <w:lang w:val="en-GB"/>
        </w:rPr>
      </w:pPr>
      <w:r>
        <w:rPr>
          <w:lang w:val="en-GB"/>
        </w:rPr>
        <w:t xml:space="preserve">With respect to the possibility for the public to submit comments on the duration of the </w:t>
      </w:r>
      <w:r w:rsidR="0046030A">
        <w:rPr>
          <w:lang w:val="en-GB"/>
        </w:rPr>
        <w:t>licence</w:t>
      </w:r>
      <w:r>
        <w:rPr>
          <w:lang w:val="en-GB"/>
        </w:rPr>
        <w:t xml:space="preserve"> during the 2012 public participation procedure, in his response </w:t>
      </w:r>
      <w:r w:rsidR="003B3919">
        <w:rPr>
          <w:lang w:val="en-GB"/>
        </w:rPr>
        <w:t xml:space="preserve">in the </w:t>
      </w:r>
      <w:r w:rsidR="0046030A">
        <w:rPr>
          <w:lang w:val="en-GB"/>
        </w:rPr>
        <w:t>licence</w:t>
      </w:r>
      <w:r w:rsidR="003B3919">
        <w:rPr>
          <w:lang w:val="en-GB"/>
        </w:rPr>
        <w:t xml:space="preserve"> decision </w:t>
      </w:r>
      <w:r>
        <w:rPr>
          <w:lang w:val="en-GB"/>
        </w:rPr>
        <w:t xml:space="preserve">to the comments received </w:t>
      </w:r>
      <w:r w:rsidR="003B3919">
        <w:rPr>
          <w:lang w:val="en-GB"/>
        </w:rPr>
        <w:t xml:space="preserve">from the public </w:t>
      </w:r>
      <w:r>
        <w:rPr>
          <w:lang w:val="en-GB"/>
        </w:rPr>
        <w:t xml:space="preserve">on various topics, the Minister repeatedly </w:t>
      </w:r>
      <w:r w:rsidR="003B3919">
        <w:rPr>
          <w:lang w:val="en-GB"/>
        </w:rPr>
        <w:t>reiterates</w:t>
      </w:r>
      <w:r>
        <w:rPr>
          <w:lang w:val="en-GB"/>
        </w:rPr>
        <w:t>:</w:t>
      </w:r>
      <w:r>
        <w:rPr>
          <w:rStyle w:val="st"/>
          <w:lang w:val="en-GB"/>
        </w:rPr>
        <w:t xml:space="preserve"> “</w:t>
      </w:r>
      <w:r>
        <w:t>NV EPZ has a licence for the KCB for an indefinite period, limited by Section 15a (1) of the Nuclear Energy Act to the end of 2033</w:t>
      </w:r>
      <w:r w:rsidRPr="003F6597">
        <w:rPr>
          <w:lang w:val="en-US"/>
        </w:rPr>
        <w:t>.</w:t>
      </w:r>
      <w:r>
        <w:rPr>
          <w:lang w:val="en-GB"/>
        </w:rPr>
        <w:t>”</w:t>
      </w:r>
      <w:r w:rsidR="00BB3EC7">
        <w:rPr>
          <w:lang w:val="en-GB"/>
        </w:rPr>
        <w:t xml:space="preserve"> In the Committee’s view, the Minister’s </w:t>
      </w:r>
      <w:r w:rsidR="000F64FD">
        <w:rPr>
          <w:lang w:val="en-GB"/>
        </w:rPr>
        <w:t xml:space="preserve">repeated statements on this point clearly demonstrate that the duration of the NPP until 2033 was already set prior to the 2012 public participation procedure. </w:t>
      </w:r>
    </w:p>
    <w:p w:rsidR="00DE1584" w:rsidRDefault="003F6597" w:rsidP="007A5C94">
      <w:pPr>
        <w:pStyle w:val="SingleTxtG"/>
        <w:numPr>
          <w:ilvl w:val="0"/>
          <w:numId w:val="3"/>
        </w:numPr>
        <w:ind w:left="1134" w:right="0" w:firstLine="0"/>
        <w:rPr>
          <w:lang w:val="en-GB"/>
        </w:rPr>
      </w:pPr>
      <w:r w:rsidRPr="007A5C94" w:rsidDel="005A2245">
        <w:rPr>
          <w:lang w:val="en-GB"/>
        </w:rPr>
        <w:t xml:space="preserve"> </w:t>
      </w:r>
      <w:bookmarkStart w:id="19" w:name="_Ref514181261"/>
      <w:r w:rsidR="00D22426" w:rsidRPr="007A5C94">
        <w:rPr>
          <w:lang w:val="en-GB"/>
        </w:rPr>
        <w:t>Based on the above</w:t>
      </w:r>
      <w:r w:rsidR="00F66360" w:rsidRPr="007A5C94">
        <w:rPr>
          <w:lang w:val="en-GB"/>
        </w:rPr>
        <w:t>,</w:t>
      </w:r>
      <w:r w:rsidR="009F7199" w:rsidRPr="007A5C94">
        <w:rPr>
          <w:lang w:val="en-GB"/>
        </w:rPr>
        <w:t xml:space="preserve"> the Committee </w:t>
      </w:r>
      <w:r w:rsidR="00D22426" w:rsidRPr="007A5C94">
        <w:rPr>
          <w:lang w:val="en-GB"/>
        </w:rPr>
        <w:t xml:space="preserve">considers that </w:t>
      </w:r>
      <w:r w:rsidR="001A20E3" w:rsidRPr="007A5C94">
        <w:rPr>
          <w:lang w:val="en-GB"/>
        </w:rPr>
        <w:t>by</w:t>
      </w:r>
      <w:r w:rsidR="009F7199" w:rsidRPr="007A5C94">
        <w:rPr>
          <w:lang w:val="en-GB"/>
        </w:rPr>
        <w:t xml:space="preserve"> </w:t>
      </w:r>
      <w:r w:rsidR="00AF131A">
        <w:rPr>
          <w:lang w:val="en-GB"/>
        </w:rPr>
        <w:t>deciding to set</w:t>
      </w:r>
      <w:r w:rsidR="000C118F" w:rsidRPr="007A5C94">
        <w:rPr>
          <w:lang w:val="en-GB"/>
        </w:rPr>
        <w:t xml:space="preserve"> </w:t>
      </w:r>
      <w:r w:rsidR="009F7199" w:rsidRPr="00853E2A">
        <w:rPr>
          <w:lang w:val="en-GB"/>
        </w:rPr>
        <w:t>2033</w:t>
      </w:r>
      <w:r w:rsidR="00AF131A">
        <w:rPr>
          <w:lang w:val="en-GB"/>
        </w:rPr>
        <w:t xml:space="preserve"> as the end date for the operation</w:t>
      </w:r>
      <w:r w:rsidR="00AF131A" w:rsidRPr="007A5C94">
        <w:rPr>
          <w:lang w:val="en-GB"/>
        </w:rPr>
        <w:t xml:space="preserve"> of </w:t>
      </w:r>
      <w:r w:rsidR="00AF131A" w:rsidRPr="00992282">
        <w:rPr>
          <w:lang w:val="en-GB"/>
        </w:rPr>
        <w:t>the Borssele NPP</w:t>
      </w:r>
      <w:r w:rsidR="009F7199" w:rsidRPr="00853E2A">
        <w:rPr>
          <w:lang w:val="en-GB"/>
        </w:rPr>
        <w:t xml:space="preserve"> </w:t>
      </w:r>
      <w:r w:rsidR="00B56D36" w:rsidRPr="00853E2A">
        <w:rPr>
          <w:lang w:val="en-GB"/>
        </w:rPr>
        <w:t xml:space="preserve">through the 2006 </w:t>
      </w:r>
      <w:r w:rsidRPr="00853E2A">
        <w:rPr>
          <w:lang w:val="en-GB"/>
        </w:rPr>
        <w:t xml:space="preserve">Covenant </w:t>
      </w:r>
      <w:r w:rsidR="00B56D36" w:rsidRPr="00853E2A">
        <w:rPr>
          <w:lang w:val="en-GB"/>
        </w:rPr>
        <w:t xml:space="preserve">and </w:t>
      </w:r>
      <w:r w:rsidR="00011690" w:rsidRPr="00853E2A">
        <w:rPr>
          <w:lang w:val="en-GB"/>
        </w:rPr>
        <w:t xml:space="preserve">the associated </w:t>
      </w:r>
      <w:r w:rsidR="00B56D36" w:rsidRPr="00853E2A">
        <w:rPr>
          <w:lang w:val="en-GB"/>
        </w:rPr>
        <w:t xml:space="preserve">2010 </w:t>
      </w:r>
      <w:r w:rsidR="00011690" w:rsidRPr="00853E2A">
        <w:rPr>
          <w:lang w:val="en-GB"/>
        </w:rPr>
        <w:t>amendment of the Nuclear Energy Act</w:t>
      </w:r>
      <w:r w:rsidR="009F7199" w:rsidRPr="00853E2A">
        <w:rPr>
          <w:lang w:val="en-GB"/>
        </w:rPr>
        <w:t xml:space="preserve"> </w:t>
      </w:r>
      <w:r w:rsidR="00B56D36" w:rsidRPr="00853E2A">
        <w:rPr>
          <w:lang w:val="en-GB"/>
        </w:rPr>
        <w:t>without providing for public participation meeting the requirements of article 6</w:t>
      </w:r>
      <w:r w:rsidRPr="00853E2A">
        <w:rPr>
          <w:lang w:val="en-GB"/>
        </w:rPr>
        <w:t xml:space="preserve"> </w:t>
      </w:r>
      <w:r w:rsidR="00AF131A">
        <w:rPr>
          <w:lang w:val="en-GB"/>
        </w:rPr>
        <w:t>on that decision-making</w:t>
      </w:r>
      <w:r w:rsidRPr="00853E2A">
        <w:rPr>
          <w:lang w:val="en-GB"/>
        </w:rPr>
        <w:t xml:space="preserve">, </w:t>
      </w:r>
      <w:r w:rsidR="009F7199" w:rsidRPr="00853E2A">
        <w:rPr>
          <w:lang w:val="en-GB"/>
        </w:rPr>
        <w:t>the Party concerned failed to comply with article 6, paragraph 4</w:t>
      </w:r>
      <w:r w:rsidR="00EF62DA">
        <w:rPr>
          <w:lang w:val="en-GB"/>
        </w:rPr>
        <w:t>, in conjunction with a</w:t>
      </w:r>
      <w:r w:rsidR="004B57E5">
        <w:rPr>
          <w:lang w:val="en-GB"/>
        </w:rPr>
        <w:t>rticle 6, paragraph 10,</w:t>
      </w:r>
      <w:r w:rsidR="009F7199" w:rsidRPr="00853E2A">
        <w:rPr>
          <w:lang w:val="en-GB"/>
        </w:rPr>
        <w:t xml:space="preserve"> of the Convention.</w:t>
      </w:r>
      <w:bookmarkEnd w:id="19"/>
    </w:p>
    <w:p w:rsidR="00F87A46" w:rsidRDefault="00F87A46" w:rsidP="007C254C">
      <w:pPr>
        <w:pStyle w:val="SingleTxtG"/>
        <w:ind w:right="0"/>
        <w:rPr>
          <w:b/>
          <w:lang w:val="en-GB"/>
        </w:rPr>
      </w:pPr>
    </w:p>
    <w:p w:rsidR="00EC4DEA" w:rsidRPr="006613D3" w:rsidRDefault="00EC4DEA" w:rsidP="007C254C">
      <w:pPr>
        <w:pStyle w:val="SingleTxtG"/>
        <w:ind w:right="0"/>
        <w:rPr>
          <w:b/>
          <w:lang w:val="en-GB"/>
        </w:rPr>
      </w:pPr>
      <w:r w:rsidRPr="006613D3">
        <w:rPr>
          <w:b/>
          <w:lang w:val="en-GB"/>
        </w:rPr>
        <w:t>Other provisions of article 6</w:t>
      </w:r>
    </w:p>
    <w:p w:rsidR="00904680" w:rsidRDefault="00273381" w:rsidP="00422915">
      <w:pPr>
        <w:pStyle w:val="SingleTxtG"/>
        <w:numPr>
          <w:ilvl w:val="0"/>
          <w:numId w:val="3"/>
        </w:numPr>
        <w:tabs>
          <w:tab w:val="clear" w:pos="1711"/>
        </w:tabs>
        <w:ind w:left="1134" w:right="0" w:firstLine="0"/>
        <w:rPr>
          <w:b/>
          <w:i/>
          <w:lang w:val="en-GB"/>
        </w:rPr>
      </w:pPr>
      <w:bookmarkStart w:id="20" w:name="_Ref514186459"/>
      <w:r w:rsidRPr="00AA411D">
        <w:rPr>
          <w:lang w:val="en-US"/>
        </w:rPr>
        <w:t>I</w:t>
      </w:r>
      <w:r w:rsidR="00B11BD9" w:rsidRPr="00853E2A">
        <w:t xml:space="preserve">n the light of </w:t>
      </w:r>
      <w:r w:rsidR="007C254C" w:rsidRPr="007C254C">
        <w:rPr>
          <w:sz w:val="18"/>
          <w:szCs w:val="18"/>
          <w:lang w:val="en-US"/>
        </w:rPr>
        <w:t>its</w:t>
      </w:r>
      <w:r w:rsidR="007C254C" w:rsidRPr="00853E2A">
        <w:t xml:space="preserve"> </w:t>
      </w:r>
      <w:r w:rsidR="005D2A2E" w:rsidRPr="005D2A2E">
        <w:rPr>
          <w:lang w:val="en-US"/>
        </w:rPr>
        <w:t xml:space="preserve">finding in paragraph </w:t>
      </w:r>
      <w:r w:rsidR="005D2A2E">
        <w:rPr>
          <w:lang w:val="en-US"/>
        </w:rPr>
        <w:fldChar w:fldCharType="begin"/>
      </w:r>
      <w:r w:rsidR="005D2A2E">
        <w:rPr>
          <w:lang w:val="en-US"/>
        </w:rPr>
        <w:instrText xml:space="preserve"> REF _Ref514181261 \r \h </w:instrText>
      </w:r>
      <w:r w:rsidR="005D2A2E">
        <w:rPr>
          <w:lang w:val="en-US"/>
        </w:rPr>
      </w:r>
      <w:r w:rsidR="005D2A2E">
        <w:rPr>
          <w:lang w:val="en-US"/>
        </w:rPr>
        <w:fldChar w:fldCharType="separate"/>
      </w:r>
      <w:r w:rsidR="0056000C">
        <w:rPr>
          <w:cs/>
          <w:lang w:val="en-US"/>
        </w:rPr>
        <w:t>‎</w:t>
      </w:r>
      <w:r w:rsidR="0056000C">
        <w:rPr>
          <w:lang w:val="en-US"/>
        </w:rPr>
        <w:t>79</w:t>
      </w:r>
      <w:r w:rsidR="005D2A2E">
        <w:rPr>
          <w:lang w:val="en-US"/>
        </w:rPr>
        <w:fldChar w:fldCharType="end"/>
      </w:r>
      <w:r w:rsidR="005D2A2E">
        <w:rPr>
          <w:lang w:val="en-US"/>
        </w:rPr>
        <w:t xml:space="preserve"> </w:t>
      </w:r>
      <w:r w:rsidR="005D2A2E" w:rsidRPr="007C254C">
        <w:rPr>
          <w:lang w:val="en-US"/>
        </w:rPr>
        <w:t>above</w:t>
      </w:r>
      <w:r w:rsidR="00FF635C" w:rsidRPr="00853E2A">
        <w:t xml:space="preserve">, </w:t>
      </w:r>
      <w:r w:rsidR="00B11BD9" w:rsidRPr="00853E2A">
        <w:t xml:space="preserve">the Committee considers it unnecessary to proceed </w:t>
      </w:r>
      <w:r w:rsidR="00422915" w:rsidRPr="00422915">
        <w:rPr>
          <w:lang w:val="en-US"/>
        </w:rPr>
        <w:t>to examine</w:t>
      </w:r>
      <w:r w:rsidR="00422915" w:rsidRPr="007C254C">
        <w:rPr>
          <w:lang w:val="en-US"/>
        </w:rPr>
        <w:t xml:space="preserve"> </w:t>
      </w:r>
      <w:r w:rsidR="005D2A2E" w:rsidRPr="007C254C">
        <w:rPr>
          <w:lang w:val="en-US"/>
        </w:rPr>
        <w:t xml:space="preserve">the </w:t>
      </w:r>
      <w:r w:rsidR="00422915" w:rsidRPr="00422915">
        <w:rPr>
          <w:lang w:val="en-US"/>
        </w:rPr>
        <w:t xml:space="preserve">compliance </w:t>
      </w:r>
      <w:r w:rsidR="005D2A2E">
        <w:rPr>
          <w:lang w:val="en-US"/>
        </w:rPr>
        <w:t xml:space="preserve">of the 2012 public participation procedure </w:t>
      </w:r>
      <w:r w:rsidR="00422915" w:rsidRPr="00422915">
        <w:rPr>
          <w:lang w:val="en-US"/>
        </w:rPr>
        <w:t>with</w:t>
      </w:r>
      <w:r w:rsidR="00B11BD9" w:rsidRPr="00853E2A">
        <w:t xml:space="preserve"> the other provisions of article 6</w:t>
      </w:r>
      <w:r w:rsidR="005D2A2E" w:rsidRPr="005D2A2E">
        <w:rPr>
          <w:lang w:val="en-US"/>
        </w:rPr>
        <w:t xml:space="preserve">. This is </w:t>
      </w:r>
      <w:r w:rsidR="005D2A2E">
        <w:rPr>
          <w:lang w:val="en-US"/>
        </w:rPr>
        <w:t>due to</w:t>
      </w:r>
      <w:r w:rsidR="005D2A2E" w:rsidRPr="005D2A2E">
        <w:rPr>
          <w:lang w:val="en-US"/>
        </w:rPr>
        <w:t xml:space="preserve"> </w:t>
      </w:r>
      <w:r w:rsidR="00422915">
        <w:rPr>
          <w:lang w:val="en-US"/>
        </w:rPr>
        <w:t xml:space="preserve">the </w:t>
      </w:r>
      <w:r w:rsidR="00B11BD9" w:rsidRPr="00853E2A">
        <w:t>fact that</w:t>
      </w:r>
      <w:r w:rsidR="005D2A2E" w:rsidRPr="007C254C">
        <w:rPr>
          <w:lang w:val="en-US"/>
        </w:rPr>
        <w:t>, since</w:t>
      </w:r>
      <w:r w:rsidR="00B11BD9" w:rsidRPr="00853E2A">
        <w:t xml:space="preserve"> </w:t>
      </w:r>
      <w:r w:rsidR="005D2A2E" w:rsidRPr="007C254C">
        <w:rPr>
          <w:lang w:val="en-US"/>
        </w:rPr>
        <w:t xml:space="preserve">the </w:t>
      </w:r>
      <w:r w:rsidR="005D2A2E" w:rsidRPr="005D2A2E">
        <w:rPr>
          <w:lang w:val="en-US"/>
        </w:rPr>
        <w:t xml:space="preserve">Party concerned did not </w:t>
      </w:r>
      <w:r w:rsidR="005D2A2E">
        <w:rPr>
          <w:lang w:val="en-US"/>
        </w:rPr>
        <w:t>provide</w:t>
      </w:r>
      <w:r w:rsidR="005D2A2E" w:rsidRPr="007C254C">
        <w:rPr>
          <w:lang w:val="en-US"/>
        </w:rPr>
        <w:t xml:space="preserve"> for </w:t>
      </w:r>
      <w:r w:rsidR="00422915" w:rsidRPr="007C254C">
        <w:rPr>
          <w:lang w:val="en-US"/>
        </w:rPr>
        <w:t xml:space="preserve">public </w:t>
      </w:r>
      <w:r w:rsidR="00422915" w:rsidRPr="00422915">
        <w:rPr>
          <w:lang w:val="en-US"/>
        </w:rPr>
        <w:t>participation meeting the requirements of article 6</w:t>
      </w:r>
      <w:r w:rsidR="00422915" w:rsidRPr="007C254C">
        <w:rPr>
          <w:lang w:val="en-US"/>
        </w:rPr>
        <w:t xml:space="preserve"> prior </w:t>
      </w:r>
      <w:r w:rsidR="00B11BD9" w:rsidRPr="00853E2A">
        <w:t xml:space="preserve">to </w:t>
      </w:r>
      <w:r w:rsidR="005D2A2E" w:rsidRPr="005D2A2E">
        <w:rPr>
          <w:lang w:val="en-US"/>
        </w:rPr>
        <w:t xml:space="preserve">already </w:t>
      </w:r>
      <w:r w:rsidR="00422915" w:rsidRPr="00422915">
        <w:rPr>
          <w:lang w:val="en-US"/>
        </w:rPr>
        <w:t xml:space="preserve">setting </w:t>
      </w:r>
      <w:r w:rsidR="00422915" w:rsidRPr="007C254C">
        <w:rPr>
          <w:lang w:val="en-US"/>
        </w:rPr>
        <w:t xml:space="preserve">the </w:t>
      </w:r>
      <w:r w:rsidR="00422915" w:rsidRPr="00422915">
        <w:rPr>
          <w:lang w:val="en-US"/>
        </w:rPr>
        <w:t>end date</w:t>
      </w:r>
      <w:r w:rsidR="00422915" w:rsidRPr="007C254C">
        <w:rPr>
          <w:lang w:val="en-US"/>
        </w:rPr>
        <w:t xml:space="preserve"> of the licence </w:t>
      </w:r>
      <w:r w:rsidR="005D2A2E">
        <w:rPr>
          <w:lang w:val="en-US"/>
        </w:rPr>
        <w:t>in</w:t>
      </w:r>
      <w:r w:rsidR="005D2A2E" w:rsidRPr="005D2A2E">
        <w:rPr>
          <w:lang w:val="en-US"/>
        </w:rPr>
        <w:t xml:space="preserve"> the 2006 Covenant and 2010 amendment to the Nuclear Energy Act</w:t>
      </w:r>
      <w:r w:rsidR="005D2A2E">
        <w:rPr>
          <w:lang w:val="en-US"/>
        </w:rPr>
        <w:t>,</w:t>
      </w:r>
      <w:r w:rsidR="00B11BD9" w:rsidRPr="00853E2A">
        <w:t xml:space="preserve"> </w:t>
      </w:r>
      <w:r w:rsidR="00AE7265" w:rsidRPr="00853E2A">
        <w:t xml:space="preserve">it </w:t>
      </w:r>
      <w:r w:rsidR="003B3E25" w:rsidRPr="00853E2A">
        <w:t>was</w:t>
      </w:r>
      <w:r w:rsidR="00AE7265" w:rsidRPr="00853E2A">
        <w:t xml:space="preserve"> not possible for the Party concerned</w:t>
      </w:r>
      <w:r w:rsidR="00422915" w:rsidRPr="007C254C">
        <w:rPr>
          <w:lang w:val="en-US"/>
        </w:rPr>
        <w:t xml:space="preserve"> to </w:t>
      </w:r>
      <w:r w:rsidR="00422915">
        <w:rPr>
          <w:lang w:val="en-US"/>
        </w:rPr>
        <w:t xml:space="preserve">rectify that </w:t>
      </w:r>
      <w:r w:rsidR="00422915" w:rsidRPr="007C254C">
        <w:rPr>
          <w:lang w:val="en-US"/>
        </w:rPr>
        <w:t xml:space="preserve">non-compliance </w:t>
      </w:r>
      <w:r w:rsidR="00422915">
        <w:rPr>
          <w:lang w:val="en-US"/>
        </w:rPr>
        <w:t xml:space="preserve">through </w:t>
      </w:r>
      <w:r w:rsidR="005D2A2E">
        <w:rPr>
          <w:lang w:val="en-US"/>
        </w:rPr>
        <w:t>a</w:t>
      </w:r>
      <w:r w:rsidR="00422915">
        <w:rPr>
          <w:lang w:val="en-US"/>
        </w:rPr>
        <w:t xml:space="preserve"> </w:t>
      </w:r>
      <w:r w:rsidR="005D2A2E">
        <w:rPr>
          <w:lang w:val="en-US"/>
        </w:rPr>
        <w:t xml:space="preserve">public </w:t>
      </w:r>
      <w:r w:rsidR="00422915">
        <w:rPr>
          <w:lang w:val="en-US"/>
        </w:rPr>
        <w:t>procedure</w:t>
      </w:r>
      <w:r w:rsidR="00422915" w:rsidRPr="00422915">
        <w:rPr>
          <w:lang w:val="en-US"/>
        </w:rPr>
        <w:t xml:space="preserve"> </w:t>
      </w:r>
      <w:r w:rsidR="005D2A2E">
        <w:rPr>
          <w:lang w:val="en-US"/>
        </w:rPr>
        <w:t xml:space="preserve">on the licence application </w:t>
      </w:r>
      <w:r w:rsidR="00422915">
        <w:rPr>
          <w:lang w:val="en-US"/>
        </w:rPr>
        <w:t>carried out in 2012.</w:t>
      </w:r>
      <w:bookmarkEnd w:id="20"/>
      <w:r w:rsidR="00422915">
        <w:rPr>
          <w:lang w:val="en-US"/>
        </w:rPr>
        <w:t xml:space="preserve"> </w:t>
      </w:r>
    </w:p>
    <w:p w:rsidR="00904680" w:rsidRPr="00AA411D" w:rsidRDefault="005D2A2E" w:rsidP="00422915">
      <w:pPr>
        <w:pStyle w:val="SingleTxtG"/>
        <w:numPr>
          <w:ilvl w:val="0"/>
          <w:numId w:val="3"/>
        </w:numPr>
        <w:tabs>
          <w:tab w:val="clear" w:pos="1711"/>
        </w:tabs>
        <w:ind w:left="1134" w:right="0" w:firstLine="0"/>
      </w:pPr>
      <w:r w:rsidRPr="005D2A2E">
        <w:rPr>
          <w:lang w:val="en-US"/>
        </w:rPr>
        <w:t>W</w:t>
      </w:r>
      <w:r w:rsidR="00E813D4">
        <w:rPr>
          <w:lang w:val="en-US"/>
        </w:rPr>
        <w:t>hile</w:t>
      </w:r>
      <w:r w:rsidR="00E813D4" w:rsidRPr="007C254C">
        <w:rPr>
          <w:lang w:val="en-US"/>
        </w:rPr>
        <w:t xml:space="preserve"> the Committee </w:t>
      </w:r>
      <w:r w:rsidR="00E813D4">
        <w:rPr>
          <w:lang w:val="en-US"/>
        </w:rPr>
        <w:t>will accordingly not further examine</w:t>
      </w:r>
      <w:r>
        <w:rPr>
          <w:lang w:val="en-US"/>
        </w:rPr>
        <w:t xml:space="preserve"> the compliance of the 2012 public participation procedure with the </w:t>
      </w:r>
      <w:r w:rsidR="00E813D4">
        <w:rPr>
          <w:lang w:val="en-US"/>
        </w:rPr>
        <w:t>requirements</w:t>
      </w:r>
      <w:r>
        <w:rPr>
          <w:lang w:val="en-US"/>
        </w:rPr>
        <w:t xml:space="preserve"> of article 6, </w:t>
      </w:r>
      <w:r w:rsidR="00E813D4" w:rsidRPr="00E813D4">
        <w:rPr>
          <w:lang w:val="en-US"/>
        </w:rPr>
        <w:t>it</w:t>
      </w:r>
      <w:r w:rsidR="00577927" w:rsidRPr="00AA411D">
        <w:t xml:space="preserve"> </w:t>
      </w:r>
      <w:r w:rsidR="00EC4DEA" w:rsidRPr="007C254C">
        <w:rPr>
          <w:lang w:val="en-US"/>
        </w:rPr>
        <w:t xml:space="preserve">considers it useful </w:t>
      </w:r>
      <w:r w:rsidR="00577927" w:rsidRPr="00AA411D">
        <w:t xml:space="preserve">to </w:t>
      </w:r>
      <w:r w:rsidR="00E813D4" w:rsidRPr="00E813D4">
        <w:rPr>
          <w:lang w:val="en-US"/>
        </w:rPr>
        <w:t xml:space="preserve">make </w:t>
      </w:r>
      <w:r w:rsidR="00E813D4">
        <w:rPr>
          <w:lang w:val="en-US"/>
        </w:rPr>
        <w:t>observations on certain</w:t>
      </w:r>
      <w:r w:rsidR="00E813D4" w:rsidRPr="007C254C">
        <w:rPr>
          <w:lang w:val="en-US"/>
        </w:rPr>
        <w:t xml:space="preserve"> aspects of the case that are </w:t>
      </w:r>
      <w:r w:rsidR="00E813D4">
        <w:rPr>
          <w:lang w:val="en-US"/>
        </w:rPr>
        <w:t>relevant</w:t>
      </w:r>
      <w:r w:rsidR="00E813D4" w:rsidRPr="007C254C">
        <w:rPr>
          <w:lang w:val="en-US"/>
        </w:rPr>
        <w:t xml:space="preserve"> for the correct implementation of </w:t>
      </w:r>
      <w:r w:rsidR="00273381" w:rsidRPr="00AA411D">
        <w:t xml:space="preserve">article </w:t>
      </w:r>
      <w:r w:rsidR="00577927" w:rsidRPr="00AA411D">
        <w:t xml:space="preserve">6, </w:t>
      </w:r>
      <w:r w:rsidR="00E813D4" w:rsidRPr="00E813D4">
        <w:rPr>
          <w:lang w:val="en-US"/>
        </w:rPr>
        <w:t>paragraphs 6 and</w:t>
      </w:r>
      <w:r w:rsidR="00E813D4" w:rsidRPr="007C254C">
        <w:rPr>
          <w:lang w:val="en-US"/>
        </w:rPr>
        <w:t xml:space="preserve"> </w:t>
      </w:r>
      <w:r w:rsidR="00577927" w:rsidRPr="00AA411D">
        <w:t>8.</w:t>
      </w:r>
    </w:p>
    <w:p w:rsidR="00715FCC" w:rsidRPr="006613D3" w:rsidRDefault="00715FCC" w:rsidP="00734216">
      <w:pPr>
        <w:pStyle w:val="SingleTxtG"/>
        <w:ind w:right="0"/>
        <w:rPr>
          <w:i/>
          <w:lang w:val="en-GB"/>
        </w:rPr>
      </w:pPr>
      <w:r w:rsidRPr="006613D3">
        <w:rPr>
          <w:i/>
          <w:lang w:val="en-GB"/>
        </w:rPr>
        <w:t>Article 6, paragraph 6 of the Convention</w:t>
      </w:r>
    </w:p>
    <w:p w:rsidR="00B87E88" w:rsidRPr="001A20E3" w:rsidRDefault="00FB322F" w:rsidP="00A209A7">
      <w:pPr>
        <w:pStyle w:val="SingleTxtG"/>
        <w:numPr>
          <w:ilvl w:val="0"/>
          <w:numId w:val="3"/>
        </w:numPr>
        <w:ind w:left="1134" w:right="0" w:firstLine="0"/>
        <w:rPr>
          <w:lang w:val="en-GB"/>
        </w:rPr>
      </w:pPr>
      <w:r>
        <w:rPr>
          <w:lang w:val="en-GB"/>
        </w:rPr>
        <w:t xml:space="preserve">While, as acknowledged by the communicant, </w:t>
      </w:r>
      <w:r w:rsidR="001A73DF">
        <w:rPr>
          <w:lang w:val="en-GB"/>
        </w:rPr>
        <w:t>article 6</w:t>
      </w:r>
      <w:r w:rsidR="00A91484">
        <w:rPr>
          <w:lang w:val="en-GB"/>
        </w:rPr>
        <w:t>, paragraph 6,</w:t>
      </w:r>
      <w:r w:rsidR="001A73DF">
        <w:rPr>
          <w:lang w:val="en-GB"/>
        </w:rPr>
        <w:t xml:space="preserve"> of </w:t>
      </w:r>
      <w:r>
        <w:rPr>
          <w:lang w:val="en-GB"/>
        </w:rPr>
        <w:t xml:space="preserve">the Convention does not require an environmental impact assessment to be carried out, the </w:t>
      </w:r>
      <w:r>
        <w:rPr>
          <w:lang w:val="en-GB"/>
        </w:rPr>
        <w:lastRenderedPageBreak/>
        <w:t xml:space="preserve">competent public authorities must as a minimum provide the public concerned with access to the information listed in subparagraphs (a)-(f) of that provision. </w:t>
      </w:r>
      <w:r w:rsidR="001A73DF">
        <w:rPr>
          <w:lang w:val="en-GB"/>
        </w:rPr>
        <w:t xml:space="preserve">The Committee points out that, in the context of decision-making on </w:t>
      </w:r>
      <w:r w:rsidR="00523C3B" w:rsidRPr="001A20E3">
        <w:rPr>
          <w:lang w:val="en-GB"/>
        </w:rPr>
        <w:t xml:space="preserve">the extension of the </w:t>
      </w:r>
      <w:r w:rsidR="002D4425" w:rsidRPr="001A20E3">
        <w:rPr>
          <w:lang w:val="en-GB"/>
        </w:rPr>
        <w:t xml:space="preserve">design lifetime of </w:t>
      </w:r>
      <w:r w:rsidR="001A73DF">
        <w:rPr>
          <w:lang w:val="en-GB"/>
        </w:rPr>
        <w:t>a</w:t>
      </w:r>
      <w:r w:rsidR="002D4425" w:rsidRPr="001A20E3">
        <w:rPr>
          <w:lang w:val="en-GB"/>
        </w:rPr>
        <w:t xml:space="preserve"> NPP, </w:t>
      </w:r>
      <w:r w:rsidR="00A91484">
        <w:rPr>
          <w:lang w:val="en-GB"/>
        </w:rPr>
        <w:t xml:space="preserve">subparagraph </w:t>
      </w:r>
      <w:r w:rsidR="001A73DF">
        <w:rPr>
          <w:lang w:val="en-GB"/>
        </w:rPr>
        <w:t>(b)</w:t>
      </w:r>
      <w:r w:rsidR="00A91484">
        <w:rPr>
          <w:lang w:val="en-GB"/>
        </w:rPr>
        <w:t xml:space="preserve"> of article 6, paragraph 6</w:t>
      </w:r>
      <w:r w:rsidR="00B2744E" w:rsidRPr="001A20E3">
        <w:rPr>
          <w:lang w:val="en-GB"/>
        </w:rPr>
        <w:t xml:space="preserve">, </w:t>
      </w:r>
      <w:r w:rsidR="001A73DF">
        <w:rPr>
          <w:lang w:val="en-GB"/>
        </w:rPr>
        <w:t xml:space="preserve">requires that information on the </w:t>
      </w:r>
      <w:r w:rsidR="001A33D8" w:rsidRPr="001A20E3">
        <w:rPr>
          <w:lang w:val="en-GB"/>
        </w:rPr>
        <w:t xml:space="preserve">environmental effects of such a longer operation </w:t>
      </w:r>
      <w:r w:rsidR="00B2744E" w:rsidRPr="001A20E3">
        <w:rPr>
          <w:lang w:val="en-GB"/>
        </w:rPr>
        <w:t xml:space="preserve">should </w:t>
      </w:r>
      <w:r w:rsidR="001A73DF">
        <w:rPr>
          <w:lang w:val="en-GB"/>
        </w:rPr>
        <w:t xml:space="preserve">be made available </w:t>
      </w:r>
      <w:r w:rsidR="00E372BC">
        <w:rPr>
          <w:lang w:val="en-GB"/>
        </w:rPr>
        <w:t>to the public</w:t>
      </w:r>
      <w:r w:rsidR="001A73DF">
        <w:rPr>
          <w:lang w:val="en-GB"/>
        </w:rPr>
        <w:t xml:space="preserve"> concerned</w:t>
      </w:r>
      <w:r w:rsidR="00B2744E" w:rsidRPr="001A20E3">
        <w:rPr>
          <w:lang w:val="en-GB"/>
        </w:rPr>
        <w:t xml:space="preserve">. </w:t>
      </w:r>
      <w:r w:rsidR="009F53B9" w:rsidRPr="001A20E3">
        <w:rPr>
          <w:lang w:val="en-GB"/>
        </w:rPr>
        <w:t xml:space="preserve">The Committee notes in that regard the </w:t>
      </w:r>
      <w:r w:rsidR="001A33D8">
        <w:rPr>
          <w:lang w:val="en-GB"/>
        </w:rPr>
        <w:t xml:space="preserve">communicant’s </w:t>
      </w:r>
      <w:r w:rsidR="009F53B9" w:rsidRPr="001A20E3">
        <w:rPr>
          <w:lang w:val="en-GB"/>
        </w:rPr>
        <w:t>submission that</w:t>
      </w:r>
      <w:r w:rsidR="001A73DF">
        <w:rPr>
          <w:lang w:val="en-GB"/>
        </w:rPr>
        <w:t xml:space="preserve"> in the present case</w:t>
      </w:r>
      <w:r w:rsidR="009F53B9" w:rsidRPr="001A20E3">
        <w:rPr>
          <w:lang w:val="en-GB"/>
        </w:rPr>
        <w:t xml:space="preserve"> the public authorities in fact held relevant information on this</w:t>
      </w:r>
      <w:r w:rsidR="00A91484">
        <w:rPr>
          <w:lang w:val="en-GB"/>
        </w:rPr>
        <w:t xml:space="preserve"> point</w:t>
      </w:r>
      <w:r w:rsidR="009F53B9" w:rsidRPr="001A20E3">
        <w:rPr>
          <w:lang w:val="en-GB"/>
        </w:rPr>
        <w:t xml:space="preserve"> but did not </w:t>
      </w:r>
      <w:r w:rsidR="00A91484">
        <w:rPr>
          <w:lang w:val="en-GB"/>
        </w:rPr>
        <w:t>make it available to the public concerned</w:t>
      </w:r>
      <w:r w:rsidR="009F53B9" w:rsidRPr="001A20E3">
        <w:rPr>
          <w:lang w:val="en-GB"/>
        </w:rPr>
        <w:t xml:space="preserve"> </w:t>
      </w:r>
      <w:r w:rsidR="00CC5303">
        <w:rPr>
          <w:lang w:val="en-GB"/>
        </w:rPr>
        <w:t xml:space="preserve">in a systematic manner </w:t>
      </w:r>
      <w:r w:rsidR="009F53B9" w:rsidRPr="001A20E3">
        <w:rPr>
          <w:lang w:val="en-GB"/>
        </w:rPr>
        <w:t xml:space="preserve">(see para. </w:t>
      </w:r>
      <w:r w:rsidR="00A91484">
        <w:rPr>
          <w:lang w:val="en-GB"/>
        </w:rPr>
        <w:fldChar w:fldCharType="begin"/>
      </w:r>
      <w:r w:rsidR="00A91484">
        <w:rPr>
          <w:lang w:val="en-GB"/>
        </w:rPr>
        <w:instrText xml:space="preserve"> REF _Ref514183888 \r \h </w:instrText>
      </w:r>
      <w:r w:rsidR="00A91484">
        <w:rPr>
          <w:lang w:val="en-GB"/>
        </w:rPr>
      </w:r>
      <w:r w:rsidR="00A91484">
        <w:rPr>
          <w:lang w:val="en-GB"/>
        </w:rPr>
        <w:fldChar w:fldCharType="separate"/>
      </w:r>
      <w:r w:rsidR="0056000C">
        <w:rPr>
          <w:cs/>
          <w:lang w:val="en-GB"/>
        </w:rPr>
        <w:t>‎</w:t>
      </w:r>
      <w:r w:rsidR="0056000C">
        <w:rPr>
          <w:lang w:val="en-GB"/>
        </w:rPr>
        <w:t>45</w:t>
      </w:r>
      <w:r w:rsidR="00A91484">
        <w:rPr>
          <w:lang w:val="en-GB"/>
        </w:rPr>
        <w:fldChar w:fldCharType="end"/>
      </w:r>
      <w:r w:rsidR="009F53B9" w:rsidRPr="001A20E3">
        <w:rPr>
          <w:lang w:val="en-GB"/>
        </w:rPr>
        <w:t xml:space="preserve"> above). Indeed, </w:t>
      </w:r>
      <w:r w:rsidR="00A91484">
        <w:rPr>
          <w:lang w:val="en-GB"/>
        </w:rPr>
        <w:t xml:space="preserve">the </w:t>
      </w:r>
      <w:r w:rsidR="00A65503" w:rsidRPr="001A20E3">
        <w:rPr>
          <w:lang w:val="en-GB"/>
        </w:rPr>
        <w:t xml:space="preserve">Party concerned </w:t>
      </w:r>
      <w:r w:rsidR="00A91484">
        <w:rPr>
          <w:lang w:val="en-GB"/>
        </w:rPr>
        <w:t xml:space="preserve">itself has referred </w:t>
      </w:r>
      <w:r w:rsidR="00B2744E" w:rsidRPr="001A20E3">
        <w:rPr>
          <w:lang w:val="en-GB"/>
        </w:rPr>
        <w:t>to an analysis commissioned to inform the parliamentary debate on the 2006 Covenant on “the consequences of ending or continuing the operation of the Borssele NPP after 2013.”</w:t>
      </w:r>
      <w:r w:rsidR="00B2744E" w:rsidRPr="001A20E3">
        <w:rPr>
          <w:rStyle w:val="FootnoteReference"/>
          <w:lang w:val="en-GB"/>
        </w:rPr>
        <w:footnoteReference w:id="89"/>
      </w:r>
      <w:r w:rsidR="00B2744E" w:rsidRPr="001A20E3">
        <w:rPr>
          <w:lang w:val="en-GB"/>
        </w:rPr>
        <w:t xml:space="preserve"> This analysis is </w:t>
      </w:r>
      <w:r w:rsidR="00A91484">
        <w:rPr>
          <w:lang w:val="en-GB"/>
        </w:rPr>
        <w:t>mentioned</w:t>
      </w:r>
      <w:r w:rsidR="00B2744E" w:rsidRPr="001A20E3">
        <w:rPr>
          <w:lang w:val="en-GB"/>
        </w:rPr>
        <w:t xml:space="preserve"> </w:t>
      </w:r>
      <w:r w:rsidR="00B87E88" w:rsidRPr="001A20E3">
        <w:rPr>
          <w:lang w:val="en-GB"/>
        </w:rPr>
        <w:t xml:space="preserve">in </w:t>
      </w:r>
      <w:r w:rsidR="00B2744E" w:rsidRPr="001A20E3">
        <w:rPr>
          <w:lang w:val="en-GB"/>
        </w:rPr>
        <w:t>the</w:t>
      </w:r>
      <w:r w:rsidR="00B87E88" w:rsidRPr="001A20E3">
        <w:rPr>
          <w:lang w:val="en-GB"/>
        </w:rPr>
        <w:t xml:space="preserve"> letter </w:t>
      </w:r>
      <w:r w:rsidR="00B2744E" w:rsidRPr="001A20E3">
        <w:rPr>
          <w:lang w:val="en-GB"/>
        </w:rPr>
        <w:t xml:space="preserve">of </w:t>
      </w:r>
      <w:r w:rsidR="00B87E88" w:rsidRPr="001A20E3">
        <w:rPr>
          <w:lang w:val="en-GB"/>
        </w:rPr>
        <w:t>the Minister of State Secretary for Housing, Spatial Pla</w:t>
      </w:r>
      <w:r w:rsidR="001E79E1" w:rsidRPr="001A20E3">
        <w:rPr>
          <w:lang w:val="en-GB"/>
        </w:rPr>
        <w:t xml:space="preserve">nning and the Environment </w:t>
      </w:r>
      <w:r w:rsidR="00B2744E" w:rsidRPr="001A20E3">
        <w:rPr>
          <w:lang w:val="en-GB"/>
        </w:rPr>
        <w:t>to Parliament of 10 January 2006</w:t>
      </w:r>
      <w:r w:rsidR="00A91484">
        <w:rPr>
          <w:lang w:val="en-GB"/>
        </w:rPr>
        <w:t>,</w:t>
      </w:r>
      <w:r w:rsidR="001E79E1" w:rsidRPr="001A20E3">
        <w:rPr>
          <w:lang w:val="en-GB"/>
        </w:rPr>
        <w:t xml:space="preserve"> </w:t>
      </w:r>
      <w:r w:rsidR="005346F0">
        <w:rPr>
          <w:lang w:val="en-GB"/>
        </w:rPr>
        <w:t xml:space="preserve">which stated </w:t>
      </w:r>
      <w:r w:rsidR="00B87E88" w:rsidRPr="001A20E3">
        <w:rPr>
          <w:lang w:val="en-GB"/>
        </w:rPr>
        <w:t>that “the purpose of this analysis is to examine the consequences of KCB’s closure in 2033 as compared with its closure at the end of 2013 pursuant to the political [Balkenende II] Coalition Agreement.”</w:t>
      </w:r>
      <w:r w:rsidR="00B2744E" w:rsidRPr="001A20E3">
        <w:rPr>
          <w:rStyle w:val="FootnoteReference"/>
          <w:lang w:val="en-GB"/>
        </w:rPr>
        <w:footnoteReference w:id="90"/>
      </w:r>
      <w:r w:rsidR="007A6626" w:rsidRPr="001A20E3">
        <w:rPr>
          <w:lang w:val="en-GB"/>
        </w:rPr>
        <w:t xml:space="preserve"> </w:t>
      </w:r>
      <w:r w:rsidR="00A209A7">
        <w:rPr>
          <w:lang w:val="en-GB"/>
        </w:rPr>
        <w:t xml:space="preserve">The Committee </w:t>
      </w:r>
      <w:r w:rsidR="005346F0">
        <w:rPr>
          <w:lang w:val="en-GB"/>
        </w:rPr>
        <w:t xml:space="preserve">underlines </w:t>
      </w:r>
      <w:r w:rsidR="00A209A7">
        <w:rPr>
          <w:lang w:val="en-GB"/>
        </w:rPr>
        <w:t xml:space="preserve">that, in the context of decision-making to permit a lifetime extension of a nuclear plant, </w:t>
      </w:r>
      <w:r w:rsidR="004B57E5">
        <w:rPr>
          <w:lang w:val="en-GB"/>
        </w:rPr>
        <w:t>all relevant</w:t>
      </w:r>
      <w:r w:rsidR="00A209A7">
        <w:rPr>
          <w:lang w:val="en-GB"/>
        </w:rPr>
        <w:t xml:space="preserve"> information should be made available to the public in accordance with article 6, paragraph 6 of the Convention.</w:t>
      </w:r>
    </w:p>
    <w:p w:rsidR="00CC1DE8" w:rsidRPr="006613D3" w:rsidRDefault="00CC1DE8" w:rsidP="00695D7A">
      <w:pPr>
        <w:pStyle w:val="SingleTxtG"/>
        <w:ind w:right="0"/>
        <w:rPr>
          <w:i/>
          <w:lang w:val="en-GB"/>
        </w:rPr>
      </w:pPr>
      <w:r w:rsidRPr="006613D3">
        <w:rPr>
          <w:i/>
          <w:lang w:val="en-GB"/>
        </w:rPr>
        <w:t xml:space="preserve">Article 6, paragraph 8 </w:t>
      </w:r>
    </w:p>
    <w:p w:rsidR="002B2A50" w:rsidRDefault="00EC60FD" w:rsidP="007B69CF">
      <w:pPr>
        <w:pStyle w:val="SingleTxtG"/>
        <w:numPr>
          <w:ilvl w:val="0"/>
          <w:numId w:val="3"/>
        </w:numPr>
        <w:tabs>
          <w:tab w:val="clear" w:pos="1711"/>
        </w:tabs>
        <w:ind w:left="1134" w:right="0" w:firstLine="0"/>
        <w:rPr>
          <w:rStyle w:val="st"/>
          <w:lang w:val="en-GB"/>
        </w:rPr>
      </w:pPr>
      <w:r w:rsidRPr="001A20E3" w:rsidDel="00EC60FD">
        <w:rPr>
          <w:rStyle w:val="st"/>
          <w:lang w:val="en-GB"/>
        </w:rPr>
        <w:t xml:space="preserve"> </w:t>
      </w:r>
      <w:r w:rsidR="00B755A8">
        <w:rPr>
          <w:rStyle w:val="st"/>
          <w:lang w:val="en-GB"/>
        </w:rPr>
        <w:t>Since</w:t>
      </w:r>
      <w:r w:rsidR="002B31AF">
        <w:rPr>
          <w:rStyle w:val="st"/>
          <w:lang w:val="en-GB"/>
        </w:rPr>
        <w:t xml:space="preserve"> </w:t>
      </w:r>
      <w:r w:rsidR="00EB14E8">
        <w:rPr>
          <w:rStyle w:val="st"/>
          <w:lang w:val="en-GB"/>
        </w:rPr>
        <w:t xml:space="preserve">as noted in paragraph </w:t>
      </w:r>
      <w:r w:rsidR="00EB14E8">
        <w:rPr>
          <w:rStyle w:val="st"/>
        </w:rPr>
        <w:fldChar w:fldCharType="begin"/>
      </w:r>
      <w:r w:rsidR="00EB14E8">
        <w:rPr>
          <w:rStyle w:val="st"/>
          <w:lang w:val="en-GB"/>
        </w:rPr>
        <w:instrText xml:space="preserve"> REF _Ref514186459 \r \h </w:instrText>
      </w:r>
      <w:r w:rsidR="00EB14E8">
        <w:rPr>
          <w:rStyle w:val="st"/>
        </w:rPr>
      </w:r>
      <w:r w:rsidR="00EB14E8">
        <w:rPr>
          <w:rStyle w:val="st"/>
        </w:rPr>
        <w:fldChar w:fldCharType="separate"/>
      </w:r>
      <w:r w:rsidR="0056000C">
        <w:rPr>
          <w:rStyle w:val="st"/>
          <w:cs/>
          <w:lang w:val="en-GB"/>
        </w:rPr>
        <w:t>‎</w:t>
      </w:r>
      <w:r w:rsidR="0056000C">
        <w:rPr>
          <w:rStyle w:val="st"/>
          <w:lang w:val="en-GB"/>
        </w:rPr>
        <w:t>80</w:t>
      </w:r>
      <w:r w:rsidR="00EB14E8">
        <w:rPr>
          <w:rStyle w:val="st"/>
        </w:rPr>
        <w:fldChar w:fldCharType="end"/>
      </w:r>
      <w:r w:rsidR="00EB14E8">
        <w:rPr>
          <w:rStyle w:val="st"/>
          <w:lang w:val="en-GB"/>
        </w:rPr>
        <w:t xml:space="preserve"> above, </w:t>
      </w:r>
      <w:r w:rsidR="00B755A8">
        <w:rPr>
          <w:rStyle w:val="st"/>
          <w:lang w:val="en-GB"/>
        </w:rPr>
        <w:t xml:space="preserve">a public participation procedure carried out after the end date of the nuclear power plant </w:t>
      </w:r>
      <w:r w:rsidR="00102876">
        <w:rPr>
          <w:rStyle w:val="st"/>
          <w:lang w:val="en-GB"/>
        </w:rPr>
        <w:t>had already been set</w:t>
      </w:r>
      <w:r w:rsidR="00B755A8">
        <w:rPr>
          <w:rStyle w:val="st"/>
          <w:lang w:val="en-GB"/>
        </w:rPr>
        <w:t xml:space="preserve"> cannot make up for a failure to provide for public participation </w:t>
      </w:r>
      <w:r w:rsidR="00EB14E8">
        <w:rPr>
          <w:rStyle w:val="st"/>
          <w:lang w:val="en-GB"/>
        </w:rPr>
        <w:t xml:space="preserve">fulfilling </w:t>
      </w:r>
      <w:r w:rsidR="00B755A8">
        <w:rPr>
          <w:rStyle w:val="st"/>
          <w:lang w:val="en-GB"/>
        </w:rPr>
        <w:t xml:space="preserve">the requirements of article 6 before </w:t>
      </w:r>
      <w:r w:rsidR="00CC5303">
        <w:rPr>
          <w:rStyle w:val="st"/>
          <w:lang w:val="en-GB"/>
        </w:rPr>
        <w:t xml:space="preserve">the </w:t>
      </w:r>
      <w:r w:rsidR="00DE1205">
        <w:rPr>
          <w:rStyle w:val="st"/>
          <w:lang w:val="en-GB"/>
        </w:rPr>
        <w:t>duration</w:t>
      </w:r>
      <w:r w:rsidR="00EB14E8">
        <w:rPr>
          <w:rStyle w:val="st"/>
          <w:lang w:val="en-GB"/>
        </w:rPr>
        <w:t xml:space="preserve"> was decided</w:t>
      </w:r>
      <w:r w:rsidR="00B755A8">
        <w:rPr>
          <w:rStyle w:val="st"/>
          <w:lang w:val="en-GB"/>
        </w:rPr>
        <w:t xml:space="preserve">, </w:t>
      </w:r>
      <w:r w:rsidR="007B69CF">
        <w:rPr>
          <w:rStyle w:val="st"/>
          <w:lang w:val="en-GB"/>
        </w:rPr>
        <w:t>it would serve no purpose for the Committee to</w:t>
      </w:r>
      <w:r w:rsidR="00102876">
        <w:rPr>
          <w:rStyle w:val="st"/>
          <w:lang w:val="en-GB"/>
        </w:rPr>
        <w:t xml:space="preserve"> examine the </w:t>
      </w:r>
      <w:r w:rsidR="00B755A8">
        <w:rPr>
          <w:rStyle w:val="st"/>
          <w:lang w:val="en-GB"/>
        </w:rPr>
        <w:t xml:space="preserve">compliance </w:t>
      </w:r>
      <w:r w:rsidR="007B69CF">
        <w:rPr>
          <w:rStyle w:val="st"/>
          <w:lang w:val="en-GB"/>
        </w:rPr>
        <w:t xml:space="preserve">with article 6, paragraph 8, </w:t>
      </w:r>
      <w:r w:rsidR="00102876">
        <w:rPr>
          <w:rStyle w:val="st"/>
          <w:lang w:val="en-GB"/>
        </w:rPr>
        <w:t>of the 2012 public participation procedure</w:t>
      </w:r>
      <w:r w:rsidR="00B755A8">
        <w:rPr>
          <w:rStyle w:val="st"/>
          <w:lang w:val="en-GB"/>
        </w:rPr>
        <w:t xml:space="preserve">. </w:t>
      </w:r>
      <w:r w:rsidR="00B3294D">
        <w:rPr>
          <w:rStyle w:val="st"/>
          <w:lang w:val="en-GB"/>
        </w:rPr>
        <w:t>However, n</w:t>
      </w:r>
      <w:r w:rsidR="00EB14E8">
        <w:rPr>
          <w:rStyle w:val="st"/>
          <w:lang w:val="en-GB"/>
        </w:rPr>
        <w:t xml:space="preserve">otwithstanding that </w:t>
      </w:r>
      <w:r w:rsidR="00B3294D">
        <w:rPr>
          <w:rStyle w:val="st"/>
          <w:lang w:val="en-GB"/>
        </w:rPr>
        <w:t>the 2012 public participation procedure was held too late to meet the requirements of article 6 of the Convention</w:t>
      </w:r>
      <w:r w:rsidR="00DE1205">
        <w:rPr>
          <w:rStyle w:val="st"/>
          <w:lang w:val="en-GB"/>
        </w:rPr>
        <w:t xml:space="preserve"> with respect to the decision to extend the NPP’s lifetime until 2033</w:t>
      </w:r>
      <w:r w:rsidR="00B3294D">
        <w:rPr>
          <w:rStyle w:val="st"/>
          <w:lang w:val="en-GB"/>
        </w:rPr>
        <w:t xml:space="preserve">, </w:t>
      </w:r>
      <w:r w:rsidR="002B2A50">
        <w:rPr>
          <w:rStyle w:val="st"/>
          <w:lang w:val="en-GB"/>
        </w:rPr>
        <w:t xml:space="preserve">the Committee </w:t>
      </w:r>
      <w:r>
        <w:rPr>
          <w:rStyle w:val="st"/>
          <w:lang w:val="en-GB"/>
        </w:rPr>
        <w:t xml:space="preserve">considers that the </w:t>
      </w:r>
      <w:r w:rsidR="00B3294D">
        <w:rPr>
          <w:rStyle w:val="st"/>
          <w:lang w:val="en-GB"/>
        </w:rPr>
        <w:t xml:space="preserve">format used in the </w:t>
      </w:r>
      <w:r>
        <w:rPr>
          <w:rStyle w:val="st"/>
          <w:lang w:val="en-GB"/>
        </w:rPr>
        <w:t xml:space="preserve">licence decision </w:t>
      </w:r>
      <w:r w:rsidR="00B3294D">
        <w:rPr>
          <w:rStyle w:val="st"/>
          <w:lang w:val="en-GB"/>
        </w:rPr>
        <w:t xml:space="preserve">to summarize, group and respond to </w:t>
      </w:r>
      <w:r>
        <w:rPr>
          <w:rStyle w:val="st"/>
          <w:lang w:val="en-GB"/>
        </w:rPr>
        <w:t xml:space="preserve">the comments received from the public </w:t>
      </w:r>
      <w:r w:rsidR="001A7D22">
        <w:rPr>
          <w:rStyle w:val="st"/>
          <w:lang w:val="en-GB"/>
        </w:rPr>
        <w:t xml:space="preserve">may serve as a useful </w:t>
      </w:r>
      <w:r w:rsidR="004B57E5">
        <w:rPr>
          <w:rStyle w:val="st"/>
          <w:lang w:val="en-GB"/>
        </w:rPr>
        <w:t>example on</w:t>
      </w:r>
      <w:r w:rsidR="001A7D22">
        <w:rPr>
          <w:rStyle w:val="st"/>
          <w:lang w:val="en-GB"/>
        </w:rPr>
        <w:t xml:space="preserve"> how to </w:t>
      </w:r>
      <w:r w:rsidR="006E54C3">
        <w:rPr>
          <w:rStyle w:val="st"/>
          <w:lang w:val="en-GB"/>
        </w:rPr>
        <w:t xml:space="preserve">deal with comments received from the public </w:t>
      </w:r>
      <w:r w:rsidR="007B69CF">
        <w:rPr>
          <w:rStyle w:val="st"/>
          <w:lang w:val="en-GB"/>
        </w:rPr>
        <w:t xml:space="preserve">in the text of a decision subject to article 6 </w:t>
      </w:r>
      <w:r w:rsidR="006E54C3">
        <w:rPr>
          <w:rStyle w:val="st"/>
          <w:lang w:val="en-GB"/>
        </w:rPr>
        <w:t>in a well-structured, clear</w:t>
      </w:r>
      <w:r w:rsidR="00B3294D">
        <w:rPr>
          <w:rStyle w:val="st"/>
          <w:lang w:val="en-GB"/>
        </w:rPr>
        <w:t xml:space="preserve"> and sufficiently detailed way.</w:t>
      </w:r>
    </w:p>
    <w:p w:rsidR="00C93EF5" w:rsidRPr="00695D7A" w:rsidRDefault="00973F91" w:rsidP="00695D7A">
      <w:pPr>
        <w:ind w:left="709"/>
        <w:rPr>
          <w:b/>
          <w:sz w:val="28"/>
          <w:szCs w:val="28"/>
        </w:rPr>
      </w:pPr>
      <w:r w:rsidRPr="001A20E3" w:rsidDel="00973F91">
        <w:rPr>
          <w:rStyle w:val="st"/>
        </w:rPr>
        <w:t xml:space="preserve">  </w:t>
      </w:r>
    </w:p>
    <w:p w:rsidR="00910CCE" w:rsidRPr="00695D7A" w:rsidRDefault="00910CCE" w:rsidP="00695D7A">
      <w:pPr>
        <w:ind w:left="709"/>
        <w:rPr>
          <w:b/>
          <w:sz w:val="28"/>
          <w:szCs w:val="28"/>
        </w:rPr>
      </w:pPr>
      <w:r w:rsidRPr="00695D7A">
        <w:rPr>
          <w:b/>
          <w:sz w:val="28"/>
          <w:szCs w:val="28"/>
        </w:rPr>
        <w:t>IV. Conclusions and recommendations</w:t>
      </w:r>
    </w:p>
    <w:p w:rsidR="00910CCE" w:rsidRPr="00695D7A" w:rsidRDefault="00910CCE" w:rsidP="00695D7A">
      <w:pPr>
        <w:ind w:left="1134"/>
      </w:pPr>
    </w:p>
    <w:p w:rsidR="00CF7446" w:rsidRDefault="00910CCE" w:rsidP="00695D7A">
      <w:pPr>
        <w:numPr>
          <w:ilvl w:val="0"/>
          <w:numId w:val="3"/>
        </w:numPr>
        <w:tabs>
          <w:tab w:val="clear" w:pos="1711"/>
        </w:tabs>
        <w:spacing w:after="120"/>
        <w:ind w:left="1134" w:firstLine="0"/>
        <w:jc w:val="both"/>
      </w:pPr>
      <w:r w:rsidRPr="00695D7A">
        <w:t>Having considered the above, the Committee adopts the findings and recommendations set out in the following paragraphs</w:t>
      </w:r>
      <w:r w:rsidR="00CF7446" w:rsidRPr="00695D7A">
        <w:t>:</w:t>
      </w:r>
    </w:p>
    <w:p w:rsidR="00474E7F" w:rsidRPr="001A20E3" w:rsidRDefault="00474E7F" w:rsidP="00695D7A">
      <w:pPr>
        <w:spacing w:after="120"/>
        <w:ind w:left="851"/>
        <w:jc w:val="both"/>
        <w:rPr>
          <w:b/>
          <w:sz w:val="22"/>
          <w:szCs w:val="22"/>
        </w:rPr>
      </w:pPr>
    </w:p>
    <w:p w:rsidR="00910CCE" w:rsidRPr="00695D7A" w:rsidRDefault="00910CCE" w:rsidP="00695D7A">
      <w:pPr>
        <w:spacing w:after="120"/>
        <w:ind w:left="851"/>
        <w:jc w:val="both"/>
        <w:rPr>
          <w:b/>
          <w:sz w:val="22"/>
          <w:szCs w:val="22"/>
        </w:rPr>
      </w:pPr>
      <w:r w:rsidRPr="001A20E3">
        <w:rPr>
          <w:b/>
          <w:sz w:val="22"/>
          <w:szCs w:val="22"/>
        </w:rPr>
        <w:t xml:space="preserve">A. </w:t>
      </w:r>
      <w:r w:rsidRPr="00695D7A">
        <w:rPr>
          <w:b/>
          <w:sz w:val="22"/>
          <w:szCs w:val="22"/>
        </w:rPr>
        <w:t>Main findings with regard to non-compliance</w:t>
      </w:r>
    </w:p>
    <w:p w:rsidR="00386557" w:rsidRPr="001A20E3" w:rsidRDefault="00910CCE" w:rsidP="007C254C">
      <w:pPr>
        <w:numPr>
          <w:ilvl w:val="0"/>
          <w:numId w:val="3"/>
        </w:numPr>
        <w:tabs>
          <w:tab w:val="clear" w:pos="1711"/>
        </w:tabs>
        <w:spacing w:after="120"/>
        <w:ind w:left="1134" w:firstLine="0"/>
        <w:jc w:val="both"/>
        <w:rPr>
          <w:rStyle w:val="st"/>
        </w:rPr>
      </w:pPr>
      <w:r w:rsidRPr="001A20E3">
        <w:rPr>
          <w:rStyle w:val="st"/>
        </w:rPr>
        <w:t>The Committee finds that</w:t>
      </w:r>
      <w:r w:rsidR="00AF131A">
        <w:rPr>
          <w:rStyle w:val="st"/>
        </w:rPr>
        <w:t>,</w:t>
      </w:r>
      <w:r w:rsidRPr="001A20E3">
        <w:rPr>
          <w:rStyle w:val="st"/>
        </w:rPr>
        <w:t xml:space="preserve"> </w:t>
      </w:r>
      <w:r w:rsidR="00AF131A" w:rsidRPr="007A5C94">
        <w:t xml:space="preserve">by </w:t>
      </w:r>
      <w:r w:rsidR="00AF131A">
        <w:t>deciding to set</w:t>
      </w:r>
      <w:r w:rsidR="00AF131A" w:rsidRPr="007A5C94">
        <w:t xml:space="preserve"> </w:t>
      </w:r>
      <w:r w:rsidR="00DE1205">
        <w:t xml:space="preserve">31 December </w:t>
      </w:r>
      <w:r w:rsidR="00AF131A" w:rsidRPr="00853E2A">
        <w:t>2033</w:t>
      </w:r>
      <w:r w:rsidR="00AF131A">
        <w:t xml:space="preserve"> as the end date for the operation</w:t>
      </w:r>
      <w:r w:rsidR="00AF131A" w:rsidRPr="007A5C94">
        <w:t xml:space="preserve"> of </w:t>
      </w:r>
      <w:r w:rsidR="00AF131A" w:rsidRPr="00992282">
        <w:t>the Borssele NPP</w:t>
      </w:r>
      <w:r w:rsidR="00AF131A" w:rsidRPr="00853E2A">
        <w:t xml:space="preserve"> through the 2006 Covenant and the associated 2010 amendment of the Nuclear Energy Act without providing for public participation meeting the requirements of article 6 </w:t>
      </w:r>
      <w:r w:rsidR="00AF131A">
        <w:t>on that decision-making</w:t>
      </w:r>
      <w:r w:rsidR="00AF131A" w:rsidRPr="00853E2A">
        <w:t>, the Party concerned failed to comply with article 6, paragraph 4</w:t>
      </w:r>
      <w:r w:rsidR="004B57E5">
        <w:t>, in conjunction wi</w:t>
      </w:r>
      <w:r w:rsidR="00EF62DA">
        <w:t>th a</w:t>
      </w:r>
      <w:r w:rsidR="004B57E5">
        <w:t>rticle 6, paragraph 10,</w:t>
      </w:r>
      <w:r w:rsidR="00AF131A" w:rsidRPr="00853E2A">
        <w:t xml:space="preserve"> of the Convention</w:t>
      </w:r>
      <w:r w:rsidR="00B16113">
        <w:t>.</w:t>
      </w:r>
      <w:r w:rsidR="00386557" w:rsidRPr="001A20E3">
        <w:t xml:space="preserve"> </w:t>
      </w:r>
    </w:p>
    <w:p w:rsidR="00386557" w:rsidRPr="001A20E3" w:rsidRDefault="00386557" w:rsidP="00695D7A">
      <w:pPr>
        <w:jc w:val="both"/>
        <w:rPr>
          <w:rStyle w:val="st"/>
        </w:rPr>
      </w:pPr>
    </w:p>
    <w:p w:rsidR="00910CCE" w:rsidRPr="001A20E3" w:rsidRDefault="00910CCE" w:rsidP="00695D7A">
      <w:pPr>
        <w:ind w:left="1134"/>
        <w:jc w:val="both"/>
      </w:pPr>
    </w:p>
    <w:p w:rsidR="00910CCE" w:rsidRPr="001A20E3" w:rsidRDefault="00910CCE" w:rsidP="00695D7A">
      <w:pPr>
        <w:spacing w:after="120"/>
        <w:ind w:left="851"/>
        <w:jc w:val="both"/>
      </w:pPr>
      <w:r w:rsidRPr="001A20E3">
        <w:rPr>
          <w:b/>
          <w:sz w:val="22"/>
          <w:szCs w:val="22"/>
        </w:rPr>
        <w:lastRenderedPageBreak/>
        <w:t xml:space="preserve">B. </w:t>
      </w:r>
      <w:r w:rsidRPr="00695D7A">
        <w:rPr>
          <w:b/>
          <w:sz w:val="22"/>
          <w:szCs w:val="22"/>
        </w:rPr>
        <w:t>Recommendations</w:t>
      </w:r>
    </w:p>
    <w:p w:rsidR="002A025B" w:rsidRDefault="00910CCE" w:rsidP="007C254C">
      <w:pPr>
        <w:numPr>
          <w:ilvl w:val="0"/>
          <w:numId w:val="3"/>
        </w:numPr>
        <w:tabs>
          <w:tab w:val="clear" w:pos="1711"/>
        </w:tabs>
        <w:spacing w:after="120"/>
        <w:ind w:left="1134" w:firstLine="0"/>
        <w:jc w:val="both"/>
      </w:pPr>
      <w:r w:rsidRPr="001A20E3">
        <w:rPr>
          <w:rStyle w:val="st"/>
        </w:rPr>
        <w:t>The Committee pursuant to paragraph 36 (b) of the annex to decision I/7 of the Meeting of the Parties, [and noting the agreement of the Party concerned that the Committee take the measures request in paragraph 37 (b) of the annex to decision I/7,] recom</w:t>
      </w:r>
      <w:r w:rsidR="00345D3F" w:rsidRPr="001A20E3">
        <w:rPr>
          <w:rStyle w:val="st"/>
        </w:rPr>
        <w:t>mends that the Party concerned</w:t>
      </w:r>
      <w:r w:rsidR="0042201F">
        <w:rPr>
          <w:rStyle w:val="st"/>
        </w:rPr>
        <w:t xml:space="preserve"> take the </w:t>
      </w:r>
      <w:r w:rsidR="0042201F">
        <w:t xml:space="preserve">necessary legislative, regulatory and administrative measures to </w:t>
      </w:r>
      <w:r w:rsidR="002A025B">
        <w:t>ensure that, when a public authority reconsiders or updates the duration of any nuclear-related activity within the scope of article 6 of the Convention, the provisions of paragraph 2 to 9 of article 6 will be applied.</w:t>
      </w:r>
    </w:p>
    <w:p w:rsidR="0056000C" w:rsidRPr="001A20E3" w:rsidRDefault="0056000C" w:rsidP="0056000C">
      <w:pPr>
        <w:spacing w:after="120"/>
        <w:ind w:left="1134"/>
        <w:jc w:val="both"/>
        <w:rPr>
          <w:rStyle w:val="st"/>
        </w:rPr>
      </w:pPr>
    </w:p>
    <w:sectPr w:rsidR="0056000C" w:rsidRPr="001A20E3" w:rsidSect="00816F9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2268" w:bottom="2268" w:left="1134"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3D3" w:rsidRDefault="006613D3"/>
  </w:endnote>
  <w:endnote w:type="continuationSeparator" w:id="0">
    <w:p w:rsidR="006613D3" w:rsidRDefault="006613D3"/>
  </w:endnote>
  <w:endnote w:type="continuationNotice" w:id="1">
    <w:p w:rsidR="006613D3" w:rsidRDefault="00661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5C" w:rsidRPr="0023575C" w:rsidRDefault="006F5D5C" w:rsidP="0023575C">
    <w:pPr>
      <w:pStyle w:val="Footer"/>
      <w:tabs>
        <w:tab w:val="right" w:pos="9638"/>
      </w:tabs>
      <w:rPr>
        <w:sz w:val="18"/>
      </w:rPr>
    </w:pPr>
    <w:r w:rsidRPr="0023575C">
      <w:rPr>
        <w:b/>
        <w:sz w:val="18"/>
      </w:rPr>
      <w:fldChar w:fldCharType="begin"/>
    </w:r>
    <w:r w:rsidRPr="0023575C">
      <w:rPr>
        <w:b/>
        <w:sz w:val="18"/>
      </w:rPr>
      <w:instrText xml:space="preserve"> PAGE  \* MERGEFORMAT </w:instrText>
    </w:r>
    <w:r w:rsidRPr="0023575C">
      <w:rPr>
        <w:b/>
        <w:sz w:val="18"/>
      </w:rPr>
      <w:fldChar w:fldCharType="separate"/>
    </w:r>
    <w:r>
      <w:rPr>
        <w:b/>
        <w:noProof/>
        <w:sz w:val="18"/>
      </w:rPr>
      <w:t>10</w:t>
    </w:r>
    <w:r w:rsidRPr="0023575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5C" w:rsidRPr="0023575C" w:rsidRDefault="006F5D5C" w:rsidP="0023575C">
    <w:pPr>
      <w:pStyle w:val="Footer"/>
      <w:tabs>
        <w:tab w:val="right" w:pos="9638"/>
      </w:tabs>
      <w:rPr>
        <w:b/>
        <w:sz w:val="18"/>
      </w:rPr>
    </w:pPr>
    <w:r>
      <w:tab/>
    </w:r>
    <w:r w:rsidRPr="0023575C">
      <w:rPr>
        <w:b/>
        <w:sz w:val="18"/>
      </w:rPr>
      <w:fldChar w:fldCharType="begin"/>
    </w:r>
    <w:r w:rsidRPr="0023575C">
      <w:rPr>
        <w:b/>
        <w:sz w:val="18"/>
      </w:rPr>
      <w:instrText xml:space="preserve"> PAGE  \* MERGEFORMAT </w:instrText>
    </w:r>
    <w:r w:rsidRPr="0023575C">
      <w:rPr>
        <w:b/>
        <w:sz w:val="18"/>
      </w:rPr>
      <w:fldChar w:fldCharType="separate"/>
    </w:r>
    <w:r w:rsidR="0056000C">
      <w:rPr>
        <w:b/>
        <w:noProof/>
        <w:sz w:val="18"/>
      </w:rPr>
      <w:t>2</w:t>
    </w:r>
    <w:r w:rsidRPr="0023575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5C" w:rsidRPr="0023575C" w:rsidRDefault="006F5D5C">
    <w:pPr>
      <w:pStyle w:val="Footer"/>
      <w:rPr>
        <w:sz w:val="20"/>
      </w:rPr>
    </w:pPr>
    <w:r w:rsidRPr="006613D3">
      <w:rPr>
        <w:noProof/>
        <w:lang w:val="sv-SE"/>
      </w:rPr>
      <w:drawing>
        <wp:anchor distT="0" distB="0" distL="114300" distR="114300" simplePos="0" relativeHeight="251657728" behindDoc="0" locked="1" layoutInCell="1" allowOverlap="1" wp14:editId="16E32824">
          <wp:simplePos x="0" y="0"/>
          <wp:positionH relativeFrom="column">
            <wp:posOffset>5148580</wp:posOffset>
          </wp:positionH>
          <wp:positionV relativeFrom="paragraph">
            <wp:posOffset>-114935</wp:posOffset>
          </wp:positionV>
          <wp:extent cx="930275" cy="230505"/>
          <wp:effectExtent l="0" t="0" r="0" b="0"/>
          <wp:wrapNone/>
          <wp:docPr id="1" name="Picture 1"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3D3" w:rsidRPr="000B175B" w:rsidRDefault="006613D3" w:rsidP="000B175B">
      <w:pPr>
        <w:tabs>
          <w:tab w:val="right" w:pos="2155"/>
        </w:tabs>
        <w:spacing w:after="80"/>
        <w:ind w:left="680"/>
        <w:rPr>
          <w:u w:val="single"/>
        </w:rPr>
      </w:pPr>
      <w:r>
        <w:rPr>
          <w:u w:val="single"/>
        </w:rPr>
        <w:tab/>
      </w:r>
    </w:p>
  </w:footnote>
  <w:footnote w:type="continuationSeparator" w:id="0">
    <w:p w:rsidR="006613D3" w:rsidRPr="00FC68B7" w:rsidRDefault="006613D3" w:rsidP="00FC68B7">
      <w:pPr>
        <w:tabs>
          <w:tab w:val="left" w:pos="2155"/>
        </w:tabs>
        <w:spacing w:after="80"/>
        <w:ind w:left="680"/>
        <w:rPr>
          <w:u w:val="single"/>
        </w:rPr>
      </w:pPr>
      <w:r>
        <w:rPr>
          <w:u w:val="single"/>
        </w:rPr>
        <w:tab/>
      </w:r>
    </w:p>
  </w:footnote>
  <w:footnote w:type="continuationNotice" w:id="1">
    <w:p w:rsidR="006613D3" w:rsidRDefault="006613D3"/>
  </w:footnote>
  <w:footnote w:id="2">
    <w:p w:rsidR="006F5D5C" w:rsidRPr="00695D7A" w:rsidRDefault="006F5D5C" w:rsidP="00F66360">
      <w:pPr>
        <w:pStyle w:val="FootnoteText"/>
        <w:tabs>
          <w:tab w:val="clear" w:pos="1021"/>
          <w:tab w:val="right" w:pos="709"/>
        </w:tabs>
        <w:ind w:right="0" w:firstLine="0"/>
        <w:jc w:val="both"/>
        <w:rPr>
          <w:szCs w:val="18"/>
          <w:lang w:val="en-GB"/>
        </w:rPr>
      </w:pPr>
      <w:r w:rsidRPr="00695D7A">
        <w:rPr>
          <w:rStyle w:val="FootnoteReference"/>
          <w:szCs w:val="18"/>
          <w:lang w:val="en-GB"/>
        </w:rPr>
        <w:footnoteRef/>
      </w:r>
      <w:r w:rsidRPr="00695D7A">
        <w:rPr>
          <w:szCs w:val="18"/>
          <w:lang w:val="en-GB"/>
        </w:rPr>
        <w:t xml:space="preserve"> This section summarizes only the main facts, evidence and issues considered to be relevant to the question of compliance, as presented to and considered by the Committee.</w:t>
      </w:r>
    </w:p>
  </w:footnote>
  <w:footnote w:id="3">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Appendix 4 to the </w:t>
      </w:r>
      <w:r w:rsidRPr="0057564B">
        <w:rPr>
          <w:lang w:val="en-GB"/>
        </w:rPr>
        <w:t xml:space="preserve">Party’s </w:t>
      </w:r>
      <w:r w:rsidRPr="00695D7A">
        <w:rPr>
          <w:lang w:val="en-GB"/>
        </w:rPr>
        <w:t>response</w:t>
      </w:r>
      <w:r w:rsidRPr="0057564B">
        <w:rPr>
          <w:lang w:val="en-GB"/>
        </w:rPr>
        <w:t xml:space="preserve"> to the communication</w:t>
      </w:r>
      <w:r w:rsidRPr="00695D7A">
        <w:rPr>
          <w:lang w:val="en-GB"/>
        </w:rPr>
        <w:t>.</w:t>
      </w:r>
    </w:p>
  </w:footnote>
  <w:footnote w:id="4">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Appendix 5 to the </w:t>
      </w:r>
      <w:r w:rsidRPr="0057564B">
        <w:rPr>
          <w:lang w:val="en-GB"/>
        </w:rPr>
        <w:t>Party’s response to the communication</w:t>
      </w:r>
      <w:r w:rsidRPr="00695D7A">
        <w:rPr>
          <w:lang w:val="en-GB"/>
        </w:rPr>
        <w:t>.</w:t>
      </w:r>
    </w:p>
  </w:footnote>
  <w:footnote w:id="5">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Party’s response to the communication</w:t>
      </w:r>
      <w:r w:rsidRPr="00695D7A">
        <w:rPr>
          <w:lang w:val="en-GB"/>
        </w:rPr>
        <w:t>, para. 27.</w:t>
      </w:r>
    </w:p>
  </w:footnote>
  <w:footnote w:id="6">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Party’s response to the communication</w:t>
      </w:r>
      <w:r w:rsidRPr="00695D7A">
        <w:rPr>
          <w:lang w:val="en-GB"/>
        </w:rPr>
        <w:t>, para. 29 and appendix 4.</w:t>
      </w:r>
    </w:p>
  </w:footnote>
  <w:footnote w:id="7">
    <w:p w:rsidR="006F5D5C" w:rsidRPr="00644905"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09618A">
        <w:rPr>
          <w:lang w:val="en-GB"/>
        </w:rPr>
        <w:t>Party’s response to communication</w:t>
      </w:r>
      <w:r w:rsidRPr="006C6C18">
        <w:rPr>
          <w:lang w:val="en-GB"/>
        </w:rPr>
        <w:t xml:space="preserve">, para. </w:t>
      </w:r>
      <w:r w:rsidRPr="00EB7931">
        <w:rPr>
          <w:lang w:val="en-GB"/>
        </w:rPr>
        <w:t>8.</w:t>
      </w:r>
    </w:p>
  </w:footnote>
  <w:footnote w:id="8">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 xml:space="preserve">Party’s response to communication, paras. 8 and 10 and </w:t>
      </w:r>
      <w:r>
        <w:rPr>
          <w:lang w:val="en-GB"/>
        </w:rPr>
        <w:t>a</w:t>
      </w:r>
      <w:r w:rsidRPr="00695D7A">
        <w:rPr>
          <w:lang w:val="en-GB"/>
        </w:rPr>
        <w:t>ppendix 6</w:t>
      </w:r>
      <w:r w:rsidRPr="0057564B">
        <w:rPr>
          <w:lang w:val="en-GB"/>
        </w:rPr>
        <w:t xml:space="preserve">, </w:t>
      </w:r>
      <w:r w:rsidRPr="00695D7A">
        <w:rPr>
          <w:lang w:val="en-GB"/>
        </w:rPr>
        <w:t>p. 3.</w:t>
      </w:r>
    </w:p>
  </w:footnote>
  <w:footnote w:id="9">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Party’s response to communication</w:t>
      </w:r>
      <w:r w:rsidRPr="00695D7A">
        <w:rPr>
          <w:lang w:val="en-GB"/>
        </w:rPr>
        <w:t>, paras. 10 and 13.</w:t>
      </w:r>
    </w:p>
  </w:footnote>
  <w:footnote w:id="10">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to comments of the Party concerned on communicant’s comments, 19 February 2016, p. 1.</w:t>
      </w:r>
    </w:p>
  </w:footnote>
  <w:footnote w:id="11">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to comments of the Party concerned on communicant’s comments, 19 February 2016, p. 1.</w:t>
      </w:r>
    </w:p>
  </w:footnote>
  <w:footnote w:id="12">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to comments of the Party concerned on communicant’s comments, 19 February 2016, </w:t>
      </w:r>
      <w:r>
        <w:rPr>
          <w:lang w:val="en-GB"/>
        </w:rPr>
        <w:t xml:space="preserve">p. </w:t>
      </w:r>
      <w:r w:rsidRPr="00695D7A">
        <w:rPr>
          <w:lang w:val="en-GB"/>
        </w:rPr>
        <w:t>2.</w:t>
      </w:r>
    </w:p>
  </w:footnote>
  <w:footnote w:id="13">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to comments of the Party concerned on communicant’s comments, 19 February 2016, p. 2.</w:t>
      </w:r>
    </w:p>
  </w:footnote>
  <w:footnote w:id="14">
    <w:p w:rsidR="006F5D5C" w:rsidRPr="007C254C" w:rsidRDefault="006F5D5C">
      <w:pPr>
        <w:pStyle w:val="FootnoteText"/>
        <w:rPr>
          <w:lang w:val="en-US"/>
        </w:rPr>
      </w:pPr>
      <w:r>
        <w:rPr>
          <w:rStyle w:val="FootnoteReference"/>
        </w:rPr>
        <w:footnoteRef/>
      </w:r>
      <w:r>
        <w:t xml:space="preserve"> </w:t>
      </w:r>
      <w:r>
        <w:tab/>
      </w:r>
      <w:r>
        <w:tab/>
      </w:r>
      <w:r w:rsidRPr="00695D7A">
        <w:rPr>
          <w:rStyle w:val="st"/>
          <w:lang w:val="en-GB"/>
        </w:rPr>
        <w:t>Government Gazette, 17 July 2006, No. 136 / p. 29</w:t>
      </w:r>
      <w:r>
        <w:rPr>
          <w:rStyle w:val="st"/>
          <w:lang w:val="en-GB"/>
        </w:rPr>
        <w:t>.</w:t>
      </w:r>
    </w:p>
  </w:footnote>
  <w:footnote w:id="15">
    <w:p w:rsidR="006F5D5C" w:rsidRPr="00695D7A" w:rsidRDefault="006F5D5C" w:rsidP="00D60D6D">
      <w:pPr>
        <w:pStyle w:val="FootnoteText"/>
        <w:ind w:right="0" w:firstLine="0"/>
        <w:rPr>
          <w:lang w:val="en-GB"/>
        </w:rPr>
      </w:pPr>
      <w:r w:rsidRPr="00695D7A">
        <w:rPr>
          <w:rStyle w:val="FootnoteReference"/>
          <w:lang w:val="en-GB"/>
        </w:rPr>
        <w:footnoteRef/>
      </w:r>
      <w:r w:rsidRPr="00695D7A">
        <w:rPr>
          <w:lang w:val="en-GB"/>
        </w:rPr>
        <w:t xml:space="preserve"> Annex 1 (a) to the communicant’s reply to questions, 19 September 2014, article 2 (a) of the Covenant.</w:t>
      </w:r>
    </w:p>
  </w:footnote>
  <w:footnote w:id="16">
    <w:p w:rsidR="006C5E47" w:rsidRPr="00695D7A" w:rsidRDefault="006C5E47" w:rsidP="006C5E47">
      <w:pPr>
        <w:pStyle w:val="FootnoteText"/>
        <w:ind w:right="0" w:firstLine="0"/>
        <w:rPr>
          <w:lang w:val="en-GB"/>
        </w:rPr>
      </w:pPr>
      <w:r w:rsidRPr="00695D7A">
        <w:rPr>
          <w:rStyle w:val="FootnoteReference"/>
          <w:lang w:val="en-GB"/>
        </w:rPr>
        <w:footnoteRef/>
      </w:r>
      <w:r w:rsidRPr="00695D7A">
        <w:rPr>
          <w:lang w:val="en-GB"/>
        </w:rPr>
        <w:t xml:space="preserve"> Annex 1 (a) to the communicant’s reply to questions, 19 September 2014.</w:t>
      </w:r>
    </w:p>
  </w:footnote>
  <w:footnote w:id="17">
    <w:p w:rsidR="006F5D5C" w:rsidRPr="00695D7A" w:rsidRDefault="006F5D5C" w:rsidP="00D60D6D">
      <w:pPr>
        <w:pStyle w:val="FootnoteText"/>
        <w:ind w:right="0" w:firstLine="0"/>
        <w:rPr>
          <w:lang w:val="en-GB"/>
        </w:rPr>
      </w:pPr>
      <w:r w:rsidRPr="00695D7A">
        <w:rPr>
          <w:rStyle w:val="FootnoteReference"/>
          <w:lang w:val="en-GB"/>
        </w:rPr>
        <w:footnoteRef/>
      </w:r>
      <w:r w:rsidRPr="00695D7A">
        <w:rPr>
          <w:lang w:val="en-GB"/>
        </w:rPr>
        <w:t xml:space="preserve"> Annex 1 (a) to the communicant’s reply to questions, 19 September 2014.</w:t>
      </w:r>
    </w:p>
  </w:footnote>
  <w:footnote w:id="18">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Party’s response to communication</w:t>
      </w:r>
      <w:r w:rsidRPr="00695D7A">
        <w:rPr>
          <w:lang w:val="en-GB"/>
        </w:rPr>
        <w:t>, para. 11</w:t>
      </w:r>
      <w:r>
        <w:rPr>
          <w:lang w:val="en-GB"/>
        </w:rPr>
        <w:t>, and Annex 2.</w:t>
      </w:r>
    </w:p>
  </w:footnote>
  <w:footnote w:id="19">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Party’s response to communication</w:t>
      </w:r>
      <w:r w:rsidRPr="00695D7A">
        <w:rPr>
          <w:lang w:val="en-GB"/>
        </w:rPr>
        <w:t>, paras. 12 and 14.</w:t>
      </w:r>
    </w:p>
  </w:footnote>
  <w:footnote w:id="20">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paras. 15 and 20.</w:t>
      </w:r>
    </w:p>
  </w:footnote>
  <w:footnote w:id="21">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paras. 25-26</w:t>
      </w:r>
      <w:r w:rsidR="0073008A">
        <w:rPr>
          <w:lang w:val="en-GB"/>
        </w:rPr>
        <w:t>,</w:t>
      </w:r>
      <w:r w:rsidRPr="00695D7A">
        <w:rPr>
          <w:lang w:val="en-GB"/>
        </w:rPr>
        <w:t xml:space="preserve"> and annex 3 to letter from the Party concerned, 13 November 2015, para. 1.6.</w:t>
      </w:r>
    </w:p>
  </w:footnote>
  <w:footnote w:id="22">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1 (g) to the communicant’s reply to questions, 19 September 2014</w:t>
      </w:r>
      <w:r w:rsidR="0073008A">
        <w:rPr>
          <w:lang w:val="en-GB"/>
        </w:rPr>
        <w:t>,</w:t>
      </w:r>
      <w:r w:rsidRPr="00695D7A">
        <w:rPr>
          <w:lang w:val="en-GB"/>
        </w:rPr>
        <w:t xml:space="preserve"> </w:t>
      </w:r>
      <w:r w:rsidR="0073008A">
        <w:rPr>
          <w:lang w:val="en-GB"/>
        </w:rPr>
        <w:t>and annex 1 to the additional information from the Party concerned, 8 October 2015</w:t>
      </w:r>
      <w:r w:rsidRPr="00695D7A">
        <w:rPr>
          <w:lang w:val="en-GB"/>
        </w:rPr>
        <w:t>.</w:t>
      </w:r>
    </w:p>
  </w:footnote>
  <w:footnote w:id="23">
    <w:p w:rsidR="006F5D5C" w:rsidRPr="0009618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 xml:space="preserve">Annex 1 (e) </w:t>
      </w:r>
      <w:r w:rsidRPr="00695D7A">
        <w:rPr>
          <w:lang w:val="en-GB"/>
        </w:rPr>
        <w:t>to the communicant’s reply to questions, 19 September 2014</w:t>
      </w:r>
      <w:r w:rsidRPr="0057564B">
        <w:rPr>
          <w:lang w:val="en-GB"/>
        </w:rPr>
        <w:t>, p. 1.</w:t>
      </w:r>
    </w:p>
  </w:footnote>
  <w:footnote w:id="24">
    <w:p w:rsidR="006F5D5C" w:rsidRPr="006C6C18" w:rsidRDefault="006F5D5C" w:rsidP="00F66360">
      <w:pPr>
        <w:pStyle w:val="FootnoteText"/>
        <w:ind w:right="0" w:firstLine="0"/>
        <w:jc w:val="both"/>
        <w:rPr>
          <w:lang w:val="en-GB"/>
        </w:rPr>
      </w:pPr>
      <w:r w:rsidRPr="00695D7A">
        <w:rPr>
          <w:rStyle w:val="FootnoteReference"/>
          <w:lang w:val="en-GB"/>
        </w:rPr>
        <w:footnoteRef/>
      </w:r>
      <w:r w:rsidRPr="00695D7A">
        <w:rPr>
          <w:lang w:val="en-GB"/>
        </w:rPr>
        <w:t xml:space="preserve"> </w:t>
      </w:r>
      <w:r w:rsidRPr="0057564B">
        <w:rPr>
          <w:lang w:val="en-GB"/>
        </w:rPr>
        <w:t>Annex 1 (e) to the communicant’s reply to questions, 19 September 2014.</w:t>
      </w:r>
    </w:p>
  </w:footnote>
  <w:footnote w:id="25">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1 to the communication.</w:t>
      </w:r>
    </w:p>
  </w:footnote>
  <w:footnote w:id="26">
    <w:p w:rsidR="006F5D5C" w:rsidRPr="00EB7931"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Annex 1 (f</w:t>
      </w:r>
      <w:r w:rsidRPr="0009618A">
        <w:rPr>
          <w:lang w:val="en-GB"/>
        </w:rPr>
        <w:t>) to the communicant’s reply to questions, 19 September 2014.</w:t>
      </w:r>
    </w:p>
  </w:footnote>
  <w:footnote w:id="27">
    <w:p w:rsidR="006F5D5C" w:rsidRPr="006C6C18"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sidRPr="0057564B">
        <w:rPr>
          <w:lang w:val="en-GB"/>
        </w:rPr>
        <w:t>Annex 1 (f) to the communicant’s reply to questions, 19 September 2014.</w:t>
      </w:r>
    </w:p>
  </w:footnote>
  <w:footnote w:id="28">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Communication, p. 2 and annex 1 (i).</w:t>
      </w:r>
    </w:p>
  </w:footnote>
  <w:footnote w:id="29">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Communication, p. 2.</w:t>
      </w:r>
    </w:p>
  </w:footnote>
  <w:footnote w:id="30">
    <w:p w:rsidR="006F5D5C" w:rsidRPr="00695D7A" w:rsidRDefault="006F5D5C" w:rsidP="00F66360">
      <w:pPr>
        <w:pStyle w:val="FootnoteText"/>
        <w:ind w:right="0" w:firstLine="0"/>
        <w:jc w:val="both"/>
        <w:rPr>
          <w:lang w:val="en-GB"/>
        </w:rPr>
      </w:pPr>
      <w:r w:rsidRPr="00695D7A">
        <w:rPr>
          <w:rStyle w:val="FootnoteReference"/>
          <w:szCs w:val="18"/>
          <w:lang w:val="en-GB"/>
        </w:rPr>
        <w:footnoteRef/>
      </w:r>
      <w:r w:rsidRPr="006613D3">
        <w:rPr>
          <w:lang w:val="en-GB"/>
        </w:rPr>
        <w:t xml:space="preserve"> </w:t>
      </w:r>
      <w:r w:rsidRPr="006613D3">
        <w:rPr>
          <w:rStyle w:val="st"/>
          <w:lang w:val="en-GB"/>
        </w:rPr>
        <w:t xml:space="preserve">ECE/MP.PP/C.1/2005/2/Add.3, para. </w:t>
      </w:r>
      <w:r w:rsidRPr="0057564B">
        <w:rPr>
          <w:rStyle w:val="st"/>
          <w:szCs w:val="18"/>
          <w:lang w:val="en-GB"/>
        </w:rPr>
        <w:t>8.</w:t>
      </w:r>
    </w:p>
  </w:footnote>
  <w:footnote w:id="31">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paras. 4-7.</w:t>
      </w:r>
    </w:p>
  </w:footnote>
  <w:footnote w:id="32">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on the </w:t>
      </w:r>
      <w:r>
        <w:rPr>
          <w:lang w:val="en-GB"/>
        </w:rPr>
        <w:t>Party’s response to communication</w:t>
      </w:r>
      <w:r w:rsidRPr="00695D7A">
        <w:rPr>
          <w:lang w:val="en-GB"/>
        </w:rPr>
        <w:t>, 1</w:t>
      </w:r>
      <w:r>
        <w:rPr>
          <w:lang w:val="en-GB"/>
        </w:rPr>
        <w:t>7</w:t>
      </w:r>
      <w:r w:rsidRPr="00695D7A">
        <w:rPr>
          <w:lang w:val="en-GB"/>
        </w:rPr>
        <w:t xml:space="preserve"> March 2015, p. 2.</w:t>
      </w:r>
    </w:p>
  </w:footnote>
  <w:footnote w:id="33">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Communication, p. 2.</w:t>
      </w:r>
    </w:p>
  </w:footnote>
  <w:footnote w:id="34">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Communication, p. 2</w:t>
      </w:r>
      <w:r>
        <w:rPr>
          <w:lang w:val="en-GB"/>
        </w:rPr>
        <w:t>,</w:t>
      </w:r>
      <w:r w:rsidRPr="00695D7A">
        <w:rPr>
          <w:lang w:val="en-GB"/>
        </w:rPr>
        <w:t xml:space="preserve"> and </w:t>
      </w:r>
      <w:r>
        <w:rPr>
          <w:lang w:val="en-GB"/>
        </w:rPr>
        <w:t>communicant’s o</w:t>
      </w:r>
      <w:r w:rsidRPr="00695D7A">
        <w:rPr>
          <w:lang w:val="en-GB"/>
        </w:rPr>
        <w:t xml:space="preserve">pening </w:t>
      </w:r>
      <w:r>
        <w:rPr>
          <w:lang w:val="en-GB"/>
        </w:rPr>
        <w:t>s</w:t>
      </w:r>
      <w:r w:rsidRPr="00695D7A">
        <w:rPr>
          <w:lang w:val="en-GB"/>
        </w:rPr>
        <w:t xml:space="preserve">tatement </w:t>
      </w:r>
      <w:r>
        <w:rPr>
          <w:lang w:val="en-GB"/>
        </w:rPr>
        <w:t xml:space="preserve">for hearing </w:t>
      </w:r>
      <w:r w:rsidRPr="00695D7A">
        <w:rPr>
          <w:lang w:val="en-GB"/>
        </w:rPr>
        <w:t xml:space="preserve">at the Committee’s 50th </w:t>
      </w:r>
      <w:r>
        <w:rPr>
          <w:lang w:val="en-GB"/>
        </w:rPr>
        <w:t>meeting</w:t>
      </w:r>
      <w:r w:rsidRPr="00695D7A">
        <w:rPr>
          <w:lang w:val="en-GB"/>
        </w:rPr>
        <w:t>, 8 October 2015.</w:t>
      </w:r>
    </w:p>
  </w:footnote>
  <w:footnote w:id="35">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Commun</w:t>
      </w:r>
      <w:r w:rsidR="0073008A">
        <w:rPr>
          <w:lang w:val="en-GB"/>
        </w:rPr>
        <w:t>i</w:t>
      </w:r>
      <w:r>
        <w:rPr>
          <w:lang w:val="en-GB"/>
        </w:rPr>
        <w:t>cant’s o</w:t>
      </w:r>
      <w:r w:rsidRPr="00695D7A">
        <w:rPr>
          <w:lang w:val="en-GB"/>
        </w:rPr>
        <w:t xml:space="preserve">pening </w:t>
      </w:r>
      <w:r>
        <w:rPr>
          <w:lang w:val="en-GB"/>
        </w:rPr>
        <w:t>s</w:t>
      </w:r>
      <w:r w:rsidRPr="00695D7A">
        <w:rPr>
          <w:lang w:val="en-GB"/>
        </w:rPr>
        <w:t xml:space="preserve">tatement </w:t>
      </w:r>
      <w:r>
        <w:rPr>
          <w:lang w:val="en-GB"/>
        </w:rPr>
        <w:t xml:space="preserve">for hearing </w:t>
      </w:r>
      <w:r w:rsidRPr="00695D7A">
        <w:rPr>
          <w:lang w:val="en-GB"/>
        </w:rPr>
        <w:t xml:space="preserve">at the Committee’s 50th </w:t>
      </w:r>
      <w:r>
        <w:rPr>
          <w:lang w:val="en-GB"/>
        </w:rPr>
        <w:t>meeting</w:t>
      </w:r>
      <w:r w:rsidRPr="00695D7A">
        <w:rPr>
          <w:lang w:val="en-GB"/>
        </w:rPr>
        <w:t>, 8 October 2015</w:t>
      </w:r>
      <w:r w:rsidR="0073008A">
        <w:rPr>
          <w:lang w:val="en-GB"/>
        </w:rPr>
        <w:t>,</w:t>
      </w:r>
      <w:r w:rsidRPr="00695D7A">
        <w:rPr>
          <w:lang w:val="en-GB"/>
        </w:rPr>
        <w:t xml:space="preserve"> and communicant’s comments, 20 January 2016, para. 9.</w:t>
      </w:r>
    </w:p>
  </w:footnote>
  <w:footnote w:id="36">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20 January 2016, para. 1.</w:t>
      </w:r>
    </w:p>
  </w:footnote>
  <w:footnote w:id="37">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on </w:t>
      </w:r>
      <w:r w:rsidR="0073008A">
        <w:rPr>
          <w:lang w:val="en-GB"/>
        </w:rPr>
        <w:t>Party’s</w:t>
      </w:r>
      <w:r w:rsidR="0073008A" w:rsidRPr="00695D7A">
        <w:rPr>
          <w:lang w:val="en-GB"/>
        </w:rPr>
        <w:t xml:space="preserve"> </w:t>
      </w:r>
      <w:r w:rsidRPr="00695D7A">
        <w:rPr>
          <w:lang w:val="en-GB"/>
        </w:rPr>
        <w:t>response</w:t>
      </w:r>
      <w:r w:rsidR="0073008A">
        <w:rPr>
          <w:lang w:val="en-GB"/>
        </w:rPr>
        <w:t xml:space="preserve"> to communication</w:t>
      </w:r>
      <w:r w:rsidRPr="00695D7A">
        <w:rPr>
          <w:lang w:val="en-GB"/>
        </w:rPr>
        <w:t>, 1</w:t>
      </w:r>
      <w:r>
        <w:rPr>
          <w:lang w:val="en-GB"/>
        </w:rPr>
        <w:t>7</w:t>
      </w:r>
      <w:r w:rsidRPr="00695D7A">
        <w:rPr>
          <w:lang w:val="en-GB"/>
        </w:rPr>
        <w:t xml:space="preserve"> March 2015, pp. 3-4.</w:t>
      </w:r>
    </w:p>
  </w:footnote>
  <w:footnote w:id="38">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Communication, p. 2.</w:t>
      </w:r>
    </w:p>
  </w:footnote>
  <w:footnote w:id="39">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Communication, pp. 2-3</w:t>
      </w:r>
      <w:r w:rsidR="0073008A">
        <w:rPr>
          <w:lang w:val="en-GB"/>
        </w:rPr>
        <w:t>,</w:t>
      </w:r>
      <w:r w:rsidRPr="00695D7A">
        <w:rPr>
          <w:lang w:val="en-GB"/>
        </w:rPr>
        <w:t xml:space="preserve"> and communicant’s comments, 20 January 2016, para. 3.</w:t>
      </w:r>
    </w:p>
  </w:footnote>
  <w:footnote w:id="40">
    <w:p w:rsidR="006F5D5C" w:rsidRPr="0057564B"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paras. 41-42.</w:t>
      </w:r>
      <w:r w:rsidRPr="0057564B">
        <w:rPr>
          <w:lang w:val="en-GB"/>
        </w:rPr>
        <w:t xml:space="preserve"> </w:t>
      </w:r>
    </w:p>
  </w:footnote>
  <w:footnote w:id="41">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43.</w:t>
      </w:r>
    </w:p>
  </w:footnote>
  <w:footnote w:id="42">
    <w:p w:rsidR="006F5D5C" w:rsidRPr="00E15DAF" w:rsidRDefault="006F5D5C" w:rsidP="00487263">
      <w:pPr>
        <w:pStyle w:val="FootnoteText"/>
        <w:ind w:right="0" w:firstLine="0"/>
        <w:rPr>
          <w:lang w:val="en-GB"/>
        </w:rPr>
      </w:pPr>
      <w:r w:rsidRPr="00E15DAF">
        <w:rPr>
          <w:rStyle w:val="FootnoteReference"/>
          <w:lang w:val="en-GB"/>
        </w:rPr>
        <w:footnoteRef/>
      </w:r>
      <w:r w:rsidRPr="00E15DAF">
        <w:rPr>
          <w:lang w:val="en-GB"/>
        </w:rPr>
        <w:t xml:space="preserve"> </w:t>
      </w:r>
      <w:r>
        <w:rPr>
          <w:lang w:val="en-GB"/>
        </w:rPr>
        <w:t>Party’s response to communication</w:t>
      </w:r>
      <w:r w:rsidRPr="00E15DAF">
        <w:rPr>
          <w:lang w:val="en-GB"/>
        </w:rPr>
        <w:t>, para. 44.</w:t>
      </w:r>
    </w:p>
  </w:footnote>
  <w:footnote w:id="43">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45.</w:t>
      </w:r>
    </w:p>
  </w:footnote>
  <w:footnote w:id="44">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ECE/MP.PP/2011/11/Add.3.</w:t>
      </w:r>
    </w:p>
  </w:footnote>
  <w:footnote w:id="45">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45.</w:t>
      </w:r>
    </w:p>
  </w:footnote>
  <w:footnote w:id="46">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3 to letter from the Party concerned, 13 November 2015, para. 4.2.</w:t>
      </w:r>
    </w:p>
  </w:footnote>
  <w:footnote w:id="47">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45.</w:t>
      </w:r>
    </w:p>
  </w:footnote>
  <w:footnote w:id="48">
    <w:p w:rsidR="006F5D5C" w:rsidRPr="0057564B"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45.</w:t>
      </w:r>
    </w:p>
  </w:footnote>
  <w:footnote w:id="49">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Communication, p. 1</w:t>
      </w:r>
      <w:r w:rsidR="0073008A">
        <w:rPr>
          <w:lang w:val="en-GB"/>
        </w:rPr>
        <w:t>,</w:t>
      </w:r>
      <w:r w:rsidRPr="00695D7A">
        <w:rPr>
          <w:lang w:val="en-GB"/>
        </w:rPr>
        <w:t xml:space="preserve"> and communicant’s comments, 20 January 2016, para. 6.</w:t>
      </w:r>
    </w:p>
  </w:footnote>
  <w:footnote w:id="50">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on the </w:t>
      </w:r>
      <w:r>
        <w:rPr>
          <w:lang w:val="en-GB"/>
        </w:rPr>
        <w:t>Party’s response to communication</w:t>
      </w:r>
      <w:r w:rsidRPr="00695D7A">
        <w:rPr>
          <w:lang w:val="en-GB"/>
        </w:rPr>
        <w:t>, 1</w:t>
      </w:r>
      <w:r>
        <w:rPr>
          <w:lang w:val="en-GB"/>
        </w:rPr>
        <w:t>7</w:t>
      </w:r>
      <w:r w:rsidRPr="00695D7A">
        <w:rPr>
          <w:lang w:val="en-GB"/>
        </w:rPr>
        <w:t xml:space="preserve"> March 2015, p. 4.</w:t>
      </w:r>
    </w:p>
  </w:footnote>
  <w:footnote w:id="51">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20 January 2016, para. 4.</w:t>
      </w:r>
    </w:p>
  </w:footnote>
  <w:footnote w:id="52">
    <w:p w:rsidR="006F5D5C" w:rsidRPr="00E15DAF" w:rsidRDefault="006F5D5C" w:rsidP="00C34438">
      <w:pPr>
        <w:pStyle w:val="FootnoteText"/>
        <w:ind w:right="0" w:firstLine="0"/>
        <w:rPr>
          <w:lang w:val="en-GB"/>
        </w:rPr>
      </w:pPr>
      <w:r w:rsidRPr="00E15DAF">
        <w:rPr>
          <w:rStyle w:val="FootnoteReference"/>
          <w:lang w:val="en-GB"/>
        </w:rPr>
        <w:footnoteRef/>
      </w:r>
      <w:r w:rsidRPr="00E15DAF">
        <w:rPr>
          <w:lang w:val="en-GB"/>
        </w:rPr>
        <w:t xml:space="preserve"> Communicant’s comments on the </w:t>
      </w:r>
      <w:r>
        <w:rPr>
          <w:lang w:val="en-GB"/>
        </w:rPr>
        <w:t>Party’s response to communication</w:t>
      </w:r>
      <w:r w:rsidRPr="00E15DAF">
        <w:rPr>
          <w:lang w:val="en-GB"/>
        </w:rPr>
        <w:t>, 1</w:t>
      </w:r>
      <w:r>
        <w:rPr>
          <w:lang w:val="en-GB"/>
        </w:rPr>
        <w:t>7</w:t>
      </w:r>
      <w:r w:rsidRPr="00E15DAF">
        <w:rPr>
          <w:lang w:val="en-GB"/>
        </w:rPr>
        <w:t xml:space="preserve"> March 2015, p. 4.</w:t>
      </w:r>
    </w:p>
  </w:footnote>
  <w:footnote w:id="53">
    <w:p w:rsidR="006F5D5C" w:rsidRPr="00E15DAF" w:rsidRDefault="006F5D5C" w:rsidP="00E30A7F">
      <w:pPr>
        <w:pStyle w:val="FootnoteText"/>
        <w:ind w:firstLine="0"/>
        <w:rPr>
          <w:lang w:val="en-GB"/>
        </w:rPr>
      </w:pPr>
      <w:r w:rsidRPr="00E15DAF">
        <w:rPr>
          <w:rStyle w:val="FootnoteReference"/>
          <w:lang w:val="en-GB"/>
        </w:rPr>
        <w:footnoteRef/>
      </w:r>
      <w:r w:rsidRPr="00E15DAF">
        <w:rPr>
          <w:lang w:val="en-GB"/>
        </w:rPr>
        <w:t xml:space="preserve"> Annex 1 to letter from the Party concerned, 13 November 2015</w:t>
      </w:r>
      <w:r>
        <w:rPr>
          <w:lang w:val="en-GB"/>
        </w:rPr>
        <w:t>, p.3</w:t>
      </w:r>
      <w:r w:rsidRPr="00E15DAF">
        <w:rPr>
          <w:lang w:val="en-GB"/>
        </w:rPr>
        <w:t>.</w:t>
      </w:r>
    </w:p>
  </w:footnote>
  <w:footnote w:id="54">
    <w:p w:rsidR="006F5D5C" w:rsidRPr="00695D7A" w:rsidRDefault="006F5D5C" w:rsidP="00F66360">
      <w:pPr>
        <w:pStyle w:val="FootnoteText"/>
        <w:ind w:firstLine="0"/>
        <w:rPr>
          <w:lang w:val="en-GB"/>
        </w:rPr>
      </w:pPr>
      <w:r w:rsidRPr="00695D7A">
        <w:rPr>
          <w:rStyle w:val="FootnoteReference"/>
          <w:lang w:val="en-GB"/>
        </w:rPr>
        <w:footnoteRef/>
      </w:r>
      <w:r w:rsidRPr="00695D7A">
        <w:rPr>
          <w:lang w:val="en-GB"/>
        </w:rPr>
        <w:t xml:space="preserve"> Communicant’s comments, 20 January 2016, para. 4.</w:t>
      </w:r>
    </w:p>
  </w:footnote>
  <w:footnote w:id="55">
    <w:p w:rsidR="006F5D5C" w:rsidRPr="00E15DAF" w:rsidRDefault="006F5D5C" w:rsidP="00C34438">
      <w:pPr>
        <w:pStyle w:val="FootnoteText"/>
        <w:ind w:firstLine="0"/>
        <w:rPr>
          <w:lang w:val="en-GB"/>
        </w:rPr>
      </w:pPr>
      <w:r w:rsidRPr="00E15DAF">
        <w:rPr>
          <w:rStyle w:val="FootnoteReference"/>
          <w:lang w:val="en-GB"/>
        </w:rPr>
        <w:footnoteRef/>
      </w:r>
      <w:r w:rsidRPr="00E15DAF">
        <w:rPr>
          <w:lang w:val="en-GB"/>
        </w:rPr>
        <w:t xml:space="preserve"> Communicant’s comments, 20 January 2016, para. 4.</w:t>
      </w:r>
    </w:p>
  </w:footnote>
  <w:footnote w:id="56">
    <w:p w:rsidR="006F5D5C" w:rsidRPr="0057564B"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on the </w:t>
      </w:r>
      <w:r>
        <w:rPr>
          <w:lang w:val="en-GB"/>
        </w:rPr>
        <w:t>Party’s response to communication</w:t>
      </w:r>
      <w:r w:rsidRPr="00695D7A">
        <w:rPr>
          <w:lang w:val="en-GB"/>
        </w:rPr>
        <w:t>, 1</w:t>
      </w:r>
      <w:r>
        <w:rPr>
          <w:lang w:val="en-GB"/>
        </w:rPr>
        <w:t>7</w:t>
      </w:r>
      <w:r w:rsidRPr="00695D7A">
        <w:rPr>
          <w:lang w:val="en-GB"/>
        </w:rPr>
        <w:t xml:space="preserve"> March 2015, p. 4.</w:t>
      </w:r>
    </w:p>
  </w:footnote>
  <w:footnote w:id="57">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on the </w:t>
      </w:r>
      <w:r>
        <w:rPr>
          <w:lang w:val="en-GB"/>
        </w:rPr>
        <w:t>Party’s response to communication</w:t>
      </w:r>
      <w:r w:rsidRPr="00695D7A">
        <w:rPr>
          <w:lang w:val="en-GB"/>
        </w:rPr>
        <w:t>, 1</w:t>
      </w:r>
      <w:r>
        <w:rPr>
          <w:lang w:val="en-GB"/>
        </w:rPr>
        <w:t>7</w:t>
      </w:r>
      <w:r w:rsidRPr="00695D7A">
        <w:rPr>
          <w:lang w:val="en-GB"/>
        </w:rPr>
        <w:t xml:space="preserve"> </w:t>
      </w:r>
      <w:r>
        <w:rPr>
          <w:lang w:val="en-GB"/>
        </w:rPr>
        <w:t>M</w:t>
      </w:r>
      <w:r w:rsidRPr="00695D7A">
        <w:rPr>
          <w:lang w:val="en-GB"/>
        </w:rPr>
        <w:t>arch 2015, p. 4.</w:t>
      </w:r>
    </w:p>
  </w:footnote>
  <w:footnote w:id="58">
    <w:p w:rsidR="006F5D5C" w:rsidRPr="0057564B"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paras. 38-39.</w:t>
      </w:r>
    </w:p>
  </w:footnote>
  <w:footnote w:id="59">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paras. 47-48 and 51.</w:t>
      </w:r>
    </w:p>
  </w:footnote>
  <w:footnote w:id="60">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54.</w:t>
      </w:r>
    </w:p>
  </w:footnote>
  <w:footnote w:id="61">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49.</w:t>
      </w:r>
    </w:p>
  </w:footnote>
  <w:footnote w:id="62">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3 to additional information from the Party concerned, 13 November 2015, para. 2.2. See appendix 6 to the </w:t>
      </w:r>
      <w:r>
        <w:rPr>
          <w:lang w:val="en-GB"/>
        </w:rPr>
        <w:t>Party’s response to communication</w:t>
      </w:r>
      <w:r w:rsidRPr="00695D7A">
        <w:rPr>
          <w:lang w:val="en-GB"/>
        </w:rPr>
        <w:t xml:space="preserve"> for the decision on the </w:t>
      </w:r>
      <w:r>
        <w:rPr>
          <w:lang w:val="en-GB"/>
        </w:rPr>
        <w:t>licence</w:t>
      </w:r>
      <w:r w:rsidRPr="00695D7A">
        <w:rPr>
          <w:lang w:val="en-GB"/>
        </w:rPr>
        <w:t>.</w:t>
      </w:r>
    </w:p>
  </w:footnote>
  <w:footnote w:id="63">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3 to additional information from the Party concerned, 13 November</w:t>
      </w:r>
      <w:r w:rsidR="0073008A">
        <w:rPr>
          <w:lang w:val="en-GB"/>
        </w:rPr>
        <w:t xml:space="preserve"> 2015</w:t>
      </w:r>
      <w:r w:rsidRPr="00695D7A">
        <w:rPr>
          <w:lang w:val="en-GB"/>
        </w:rPr>
        <w:t>, para. 3.2</w:t>
      </w:r>
      <w:r w:rsidR="0073008A">
        <w:rPr>
          <w:lang w:val="en-GB"/>
        </w:rPr>
        <w:t>,</w:t>
      </w:r>
      <w:r w:rsidRPr="00695D7A">
        <w:rPr>
          <w:lang w:val="en-GB"/>
        </w:rPr>
        <w:t xml:space="preserve"> referring to para. 6.4 of the decision on the </w:t>
      </w:r>
      <w:r>
        <w:rPr>
          <w:lang w:val="en-GB"/>
        </w:rPr>
        <w:t>licence</w:t>
      </w:r>
      <w:r w:rsidRPr="00695D7A">
        <w:rPr>
          <w:lang w:val="en-GB"/>
        </w:rPr>
        <w:t xml:space="preserve"> application (appendix 6 to the </w:t>
      </w:r>
      <w:r>
        <w:rPr>
          <w:lang w:val="en-GB"/>
        </w:rPr>
        <w:t>Party’s response to communication</w:t>
      </w:r>
      <w:r w:rsidRPr="00695D7A">
        <w:rPr>
          <w:lang w:val="en-GB"/>
        </w:rPr>
        <w:t>).</w:t>
      </w:r>
    </w:p>
  </w:footnote>
  <w:footnote w:id="64">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53.</w:t>
      </w:r>
    </w:p>
  </w:footnote>
  <w:footnote w:id="65">
    <w:p w:rsidR="006F5D5C" w:rsidRPr="0057564B"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52.</w:t>
      </w:r>
    </w:p>
  </w:footnote>
  <w:footnote w:id="66">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3 to letter from the Party concerned, 13 November 2015, para. 3.2.</w:t>
      </w:r>
    </w:p>
  </w:footnote>
  <w:footnote w:id="67">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20 January 2016, paras. 5 and 9. </w:t>
      </w:r>
    </w:p>
  </w:footnote>
  <w:footnote w:id="68">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20 January 2016, para. 5.</w:t>
      </w:r>
    </w:p>
  </w:footnote>
  <w:footnote w:id="69">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Communicant’s comments, 20 January 2016, para. 10.</w:t>
      </w:r>
    </w:p>
  </w:footnote>
  <w:footnote w:id="70">
    <w:p w:rsidR="006F5D5C" w:rsidRPr="00E15DAF" w:rsidRDefault="006F5D5C" w:rsidP="00AC4E3B">
      <w:pPr>
        <w:pStyle w:val="FootnoteText"/>
        <w:ind w:right="0" w:firstLine="0"/>
        <w:rPr>
          <w:lang w:val="en-GB"/>
        </w:rPr>
      </w:pPr>
      <w:r w:rsidRPr="00E15DAF">
        <w:rPr>
          <w:rStyle w:val="FootnoteReference"/>
          <w:lang w:val="en-GB"/>
        </w:rPr>
        <w:footnoteRef/>
      </w:r>
      <w:r w:rsidRPr="00E15DAF">
        <w:rPr>
          <w:lang w:val="en-GB"/>
        </w:rPr>
        <w:t xml:space="preserve"> Communicant’s comments on reply to questions from the Party concerned, 11 April 2017.</w:t>
      </w:r>
    </w:p>
  </w:footnote>
  <w:footnote w:id="71">
    <w:p w:rsidR="006F5D5C" w:rsidRPr="0057564B" w:rsidRDefault="006F5D5C" w:rsidP="00F66360">
      <w:pPr>
        <w:pStyle w:val="FootnoteText"/>
        <w:ind w:right="0" w:firstLine="0"/>
        <w:rPr>
          <w:lang w:val="en-GB"/>
        </w:rPr>
      </w:pPr>
      <w:r w:rsidRPr="00695D7A">
        <w:rPr>
          <w:rStyle w:val="FootnoteReference"/>
          <w:lang w:val="en-GB"/>
        </w:rPr>
        <w:footnoteRef/>
      </w:r>
      <w:r w:rsidRPr="006613D3">
        <w:rPr>
          <w:lang w:val="en-US"/>
        </w:rPr>
        <w:t xml:space="preserve"> Party’s response to communication, paras. </w:t>
      </w:r>
      <w:r w:rsidRPr="00695D7A">
        <w:rPr>
          <w:lang w:val="en-GB"/>
        </w:rPr>
        <w:t>15 and 20.</w:t>
      </w:r>
    </w:p>
  </w:footnote>
  <w:footnote w:id="72">
    <w:p w:rsidR="006F5D5C" w:rsidRPr="00E15DAF" w:rsidRDefault="006F5D5C" w:rsidP="00AC4E3B">
      <w:pPr>
        <w:pStyle w:val="FootnoteText"/>
        <w:ind w:right="0" w:firstLine="0"/>
        <w:rPr>
          <w:lang w:val="en-GB"/>
        </w:rPr>
      </w:pPr>
      <w:r w:rsidRPr="00E15DAF">
        <w:rPr>
          <w:rStyle w:val="FootnoteReference"/>
          <w:lang w:val="en-GB"/>
        </w:rPr>
        <w:footnoteRef/>
      </w:r>
      <w:r w:rsidRPr="00E15DAF">
        <w:rPr>
          <w:lang w:val="en-GB"/>
        </w:rPr>
        <w:t xml:space="preserve"> </w:t>
      </w:r>
      <w:r>
        <w:rPr>
          <w:lang w:val="en-GB"/>
        </w:rPr>
        <w:t>Party’s response to communication</w:t>
      </w:r>
      <w:r w:rsidRPr="00E15DAF">
        <w:rPr>
          <w:lang w:val="en-GB"/>
        </w:rPr>
        <w:t xml:space="preserve">, para. 11; </w:t>
      </w:r>
      <w:r>
        <w:rPr>
          <w:lang w:val="en-GB"/>
        </w:rPr>
        <w:t>Party’s o</w:t>
      </w:r>
      <w:r w:rsidRPr="00E15DAF">
        <w:rPr>
          <w:lang w:val="en-GB"/>
        </w:rPr>
        <w:t xml:space="preserve">pening </w:t>
      </w:r>
      <w:r>
        <w:rPr>
          <w:lang w:val="en-GB"/>
        </w:rPr>
        <w:t>s</w:t>
      </w:r>
      <w:r w:rsidRPr="00E15DAF">
        <w:rPr>
          <w:lang w:val="en-GB"/>
        </w:rPr>
        <w:t xml:space="preserve">tatement </w:t>
      </w:r>
      <w:r>
        <w:rPr>
          <w:lang w:val="en-GB"/>
        </w:rPr>
        <w:t xml:space="preserve">for hearing </w:t>
      </w:r>
      <w:r w:rsidRPr="00E15DAF">
        <w:rPr>
          <w:lang w:val="en-GB"/>
        </w:rPr>
        <w:t>at the Committee’s 50th meeting, 8 October 2015, p. 3</w:t>
      </w:r>
      <w:r w:rsidR="0073008A">
        <w:rPr>
          <w:lang w:val="en-GB"/>
        </w:rPr>
        <w:t>;</w:t>
      </w:r>
      <w:r w:rsidRPr="00E15DAF">
        <w:rPr>
          <w:lang w:val="en-GB"/>
        </w:rPr>
        <w:t xml:space="preserve"> and reply to questions from the Party concerned, 16 March 2017.</w:t>
      </w:r>
    </w:p>
  </w:footnote>
  <w:footnote w:id="73">
    <w:p w:rsidR="006F5D5C" w:rsidRPr="00853E2A" w:rsidRDefault="006F5D5C" w:rsidP="00222E96">
      <w:pPr>
        <w:pStyle w:val="FootnoteText"/>
        <w:ind w:firstLine="0"/>
        <w:rPr>
          <w:lang w:val="en-US"/>
        </w:rPr>
      </w:pPr>
      <w:r>
        <w:rPr>
          <w:rStyle w:val="FootnoteReference"/>
        </w:rPr>
        <w:footnoteRef/>
      </w:r>
      <w:r>
        <w:t xml:space="preserve"> </w:t>
      </w:r>
      <w:r w:rsidRPr="00853E2A">
        <w:rPr>
          <w:lang w:val="en-US"/>
        </w:rPr>
        <w:t>Party’s reply to clarification request, 6 April 2017, p. 1.</w:t>
      </w:r>
    </w:p>
  </w:footnote>
  <w:footnote w:id="74">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w:t>
      </w:r>
      <w:r>
        <w:rPr>
          <w:lang w:val="en-GB"/>
        </w:rPr>
        <w:t>Party’s response to communication</w:t>
      </w:r>
      <w:r w:rsidRPr="00695D7A">
        <w:rPr>
          <w:lang w:val="en-GB"/>
        </w:rPr>
        <w:t>, para. 26.</w:t>
      </w:r>
    </w:p>
  </w:footnote>
  <w:footnote w:id="75">
    <w:p w:rsidR="006F5D5C" w:rsidRPr="007C254C" w:rsidRDefault="006F5D5C">
      <w:pPr>
        <w:pStyle w:val="FootnoteText"/>
        <w:rPr>
          <w:lang w:val="en-US"/>
        </w:rPr>
      </w:pPr>
      <w:r>
        <w:tab/>
      </w:r>
      <w:r>
        <w:tab/>
      </w:r>
      <w:r>
        <w:rPr>
          <w:rStyle w:val="FootnoteReference"/>
        </w:rPr>
        <w:footnoteRef/>
      </w:r>
      <w:r>
        <w:t xml:space="preserve"> </w:t>
      </w:r>
      <w:r w:rsidRPr="007C254C">
        <w:rPr>
          <w:lang w:val="en-US"/>
        </w:rPr>
        <w:t xml:space="preserve">See para. </w:t>
      </w:r>
      <w:r>
        <w:rPr>
          <w:lang w:val="fr-CH"/>
        </w:rPr>
        <w:fldChar w:fldCharType="begin"/>
      </w:r>
      <w:r w:rsidRPr="007C254C">
        <w:rPr>
          <w:lang w:val="en-US"/>
        </w:rPr>
        <w:instrText xml:space="preserve"> REF _Ref501034694 \r \h </w:instrText>
      </w:r>
      <w:r>
        <w:rPr>
          <w:lang w:val="fr-CH"/>
        </w:rPr>
      </w:r>
      <w:r>
        <w:rPr>
          <w:lang w:val="fr-CH"/>
        </w:rPr>
        <w:fldChar w:fldCharType="separate"/>
      </w:r>
      <w:r w:rsidR="004131FA">
        <w:rPr>
          <w:cs/>
          <w:lang w:val="en-US"/>
        </w:rPr>
        <w:t>‎</w:t>
      </w:r>
      <w:r w:rsidR="004131FA">
        <w:rPr>
          <w:lang w:val="en-US"/>
        </w:rPr>
        <w:t>40</w:t>
      </w:r>
      <w:r>
        <w:rPr>
          <w:lang w:val="fr-CH"/>
        </w:rPr>
        <w:fldChar w:fldCharType="end"/>
      </w:r>
      <w:r w:rsidRPr="007C254C">
        <w:rPr>
          <w:lang w:val="en-US"/>
        </w:rPr>
        <w:t xml:space="preserve"> above.</w:t>
      </w:r>
    </w:p>
  </w:footnote>
  <w:footnote w:id="76">
    <w:p w:rsidR="006F5D5C" w:rsidRPr="007E460F" w:rsidRDefault="006F5D5C">
      <w:pPr>
        <w:pStyle w:val="FootnoteText"/>
        <w:rPr>
          <w:lang w:val="en-US"/>
        </w:rPr>
      </w:pPr>
      <w:r>
        <w:tab/>
      </w:r>
      <w:r>
        <w:tab/>
      </w:r>
      <w:r>
        <w:rPr>
          <w:rStyle w:val="FootnoteReference"/>
        </w:rPr>
        <w:footnoteRef/>
      </w:r>
      <w:r w:rsidRPr="007E460F">
        <w:rPr>
          <w:lang w:val="en-US"/>
        </w:rPr>
        <w:t xml:space="preserve"> See para.</w:t>
      </w:r>
      <w:r>
        <w:rPr>
          <w:lang w:val="en-US"/>
        </w:rPr>
        <w:t xml:space="preserve"> </w:t>
      </w:r>
      <w:r>
        <w:rPr>
          <w:lang w:val="en-US"/>
        </w:rPr>
        <w:fldChar w:fldCharType="begin"/>
      </w:r>
      <w:r>
        <w:rPr>
          <w:lang w:val="en-US"/>
        </w:rPr>
        <w:instrText xml:space="preserve"> REF _Ref501034561 \r \h </w:instrText>
      </w:r>
      <w:r>
        <w:rPr>
          <w:lang w:val="en-US"/>
        </w:rPr>
      </w:r>
      <w:r>
        <w:rPr>
          <w:lang w:val="en-US"/>
        </w:rPr>
        <w:fldChar w:fldCharType="separate"/>
      </w:r>
      <w:r w:rsidR="004131FA">
        <w:rPr>
          <w:cs/>
          <w:lang w:val="en-US"/>
        </w:rPr>
        <w:t>‎</w:t>
      </w:r>
      <w:r w:rsidR="004131FA">
        <w:rPr>
          <w:lang w:val="en-US"/>
        </w:rPr>
        <w:t>42</w:t>
      </w:r>
      <w:r>
        <w:rPr>
          <w:lang w:val="en-US"/>
        </w:rPr>
        <w:fldChar w:fldCharType="end"/>
      </w:r>
      <w:r>
        <w:rPr>
          <w:lang w:val="en-US"/>
        </w:rPr>
        <w:t xml:space="preserve"> above.</w:t>
      </w:r>
      <w:r>
        <w:t xml:space="preserve"> </w:t>
      </w:r>
    </w:p>
  </w:footnote>
  <w:footnote w:id="77">
    <w:p w:rsidR="006F5D5C" w:rsidRPr="007E460F" w:rsidRDefault="006F5D5C">
      <w:pPr>
        <w:pStyle w:val="FootnoteText"/>
        <w:rPr>
          <w:lang w:val="en-US"/>
        </w:rPr>
      </w:pPr>
      <w:r>
        <w:tab/>
      </w:r>
      <w:r>
        <w:tab/>
      </w:r>
      <w:r>
        <w:rPr>
          <w:rStyle w:val="FootnoteReference"/>
        </w:rPr>
        <w:footnoteRef/>
      </w:r>
      <w:r>
        <w:t xml:space="preserve"> </w:t>
      </w:r>
      <w:r>
        <w:rPr>
          <w:lang w:val="en-GB"/>
        </w:rPr>
        <w:t>Party’s response to communication</w:t>
      </w:r>
      <w:r w:rsidRPr="00695D7A">
        <w:rPr>
          <w:lang w:val="en-GB"/>
        </w:rPr>
        <w:t xml:space="preserve">, para. </w:t>
      </w:r>
      <w:r>
        <w:rPr>
          <w:lang w:val="en-GB"/>
        </w:rPr>
        <w:t>41.</w:t>
      </w:r>
    </w:p>
  </w:footnote>
  <w:footnote w:id="78">
    <w:p w:rsidR="006F5D5C" w:rsidRPr="006613D3" w:rsidRDefault="006F5D5C" w:rsidP="006613D3">
      <w:pPr>
        <w:pStyle w:val="FootnoteText"/>
        <w:ind w:right="45"/>
        <w:rPr>
          <w:lang w:val="en-GB"/>
        </w:rPr>
      </w:pPr>
      <w:r>
        <w:tab/>
      </w:r>
      <w:r>
        <w:tab/>
      </w:r>
      <w:r>
        <w:rPr>
          <w:rStyle w:val="FootnoteReference"/>
        </w:rPr>
        <w:footnoteRef/>
      </w:r>
      <w:r>
        <w:t xml:space="preserve"> </w:t>
      </w:r>
      <w:r w:rsidRPr="00962E70">
        <w:rPr>
          <w:lang w:val="en-US"/>
        </w:rPr>
        <w:t>See</w:t>
      </w:r>
      <w:r w:rsidR="00072F30">
        <w:rPr>
          <w:lang w:val="en-US"/>
        </w:rPr>
        <w:t>,</w:t>
      </w:r>
      <w:r w:rsidRPr="00962E70">
        <w:rPr>
          <w:lang w:val="en-US"/>
        </w:rPr>
        <w:t xml:space="preserve"> for example,</w:t>
      </w:r>
      <w:r w:rsidR="00072F30">
        <w:rPr>
          <w:lang w:val="en-US"/>
        </w:rPr>
        <w:t xml:space="preserve"> the notification of the licence decision of 18 March 2013 </w:t>
      </w:r>
      <w:r w:rsidR="0073008A">
        <w:rPr>
          <w:lang w:val="en-US"/>
        </w:rPr>
        <w:t>(</w:t>
      </w:r>
      <w:r>
        <w:rPr>
          <w:lang w:val="en-US"/>
        </w:rPr>
        <w:t>appendix 8 to the Party’s response to the communication</w:t>
      </w:r>
      <w:r w:rsidR="0073008A">
        <w:rPr>
          <w:lang w:val="en-US"/>
        </w:rPr>
        <w:t>)</w:t>
      </w:r>
      <w:r>
        <w:rPr>
          <w:lang w:val="en-US"/>
        </w:rPr>
        <w:t xml:space="preserve">, p. 1: “In order to make use of the licence under the Nuclear Energy Act after 2013, NV EPZ must demonstrate that the continuation of operations until 2034 is possible within the relevant technical parameters. </w:t>
      </w:r>
      <w:r w:rsidR="0073008A">
        <w:rPr>
          <w:lang w:val="en-US"/>
        </w:rPr>
        <w:t>[</w:t>
      </w:r>
      <w:r w:rsidR="00072F30">
        <w:rPr>
          <w:lang w:val="en-US"/>
        </w:rPr>
        <w:t>...</w:t>
      </w:r>
      <w:r w:rsidR="0073008A">
        <w:rPr>
          <w:lang w:val="en-US"/>
        </w:rPr>
        <w:t xml:space="preserve">] </w:t>
      </w:r>
      <w:r>
        <w:rPr>
          <w:lang w:val="en-US"/>
        </w:rPr>
        <w:t xml:space="preserve">As a result of this justification for extending the provisional period of operation to 2034, </w:t>
      </w:r>
      <w:r w:rsidRPr="00962E70">
        <w:rPr>
          <w:lang w:val="en-GB"/>
        </w:rPr>
        <w:t>an amendment to the safety report and a change to the licence under the Nuclear Energy Act are required.</w:t>
      </w:r>
      <w:r w:rsidR="00072F30">
        <w:rPr>
          <w:lang w:val="en-GB"/>
        </w:rPr>
        <w:t>”</w:t>
      </w:r>
    </w:p>
  </w:footnote>
  <w:footnote w:id="79">
    <w:p w:rsidR="006F5D5C" w:rsidRPr="00853E2A" w:rsidRDefault="006F5D5C" w:rsidP="00881CC8">
      <w:pPr>
        <w:pStyle w:val="FootnoteText"/>
        <w:ind w:right="45" w:firstLine="36"/>
        <w:rPr>
          <w:lang w:val="en-US"/>
        </w:rPr>
      </w:pPr>
      <w:r>
        <w:rPr>
          <w:rStyle w:val="FootnoteReference"/>
        </w:rPr>
        <w:footnoteRef/>
      </w:r>
      <w:r>
        <w:t xml:space="preserve"> Bryan A. Garner ed., Black’s Law Dictionary,</w:t>
      </w:r>
      <w:r w:rsidRPr="00853E2A">
        <w:rPr>
          <w:lang w:val="en-US"/>
        </w:rPr>
        <w:t>1</w:t>
      </w:r>
      <w:r>
        <w:rPr>
          <w:lang w:val="en-US"/>
        </w:rPr>
        <w:t>0th</w:t>
      </w:r>
      <w:r>
        <w:t xml:space="preserve"> edition, (St Paul, Minnesota, West Thomson Reuters, 20</w:t>
      </w:r>
      <w:r w:rsidRPr="00853E2A">
        <w:rPr>
          <w:lang w:val="en-US"/>
        </w:rPr>
        <w:t>14</w:t>
      </w:r>
      <w:r>
        <w:t>)</w:t>
      </w:r>
      <w:r w:rsidRPr="00853E2A">
        <w:rPr>
          <w:lang w:val="en-US"/>
        </w:rPr>
        <w:t xml:space="preserve">. </w:t>
      </w:r>
    </w:p>
  </w:footnote>
  <w:footnote w:id="80">
    <w:p w:rsidR="006F5D5C" w:rsidRPr="00853E2A" w:rsidRDefault="006F5D5C" w:rsidP="008A384E">
      <w:pPr>
        <w:pStyle w:val="FootnoteText"/>
        <w:ind w:right="45"/>
        <w:rPr>
          <w:lang w:val="en-US"/>
        </w:rPr>
      </w:pPr>
      <w:r>
        <w:tab/>
      </w:r>
      <w:r>
        <w:tab/>
      </w:r>
      <w:r>
        <w:rPr>
          <w:rStyle w:val="FootnoteReference"/>
        </w:rPr>
        <w:footnoteRef/>
      </w:r>
      <w:r>
        <w:t xml:space="preserve"> </w:t>
      </w:r>
      <w:r>
        <w:rPr>
          <w:lang w:val="en-US"/>
        </w:rPr>
        <w:t>See also The Aarhus Convention: An Implementation Guide, second edition, p. 159.</w:t>
      </w:r>
    </w:p>
  </w:footnote>
  <w:footnote w:id="81">
    <w:p w:rsidR="006F5D5C" w:rsidRPr="007C254C" w:rsidRDefault="006F5D5C" w:rsidP="00407D49">
      <w:pPr>
        <w:pStyle w:val="FootnoteText"/>
        <w:rPr>
          <w:lang w:val="es-ES"/>
        </w:rPr>
      </w:pPr>
      <w:r>
        <w:tab/>
      </w:r>
      <w:r>
        <w:tab/>
      </w:r>
      <w:r>
        <w:rPr>
          <w:rStyle w:val="FootnoteReference"/>
        </w:rPr>
        <w:footnoteRef/>
      </w:r>
      <w:r>
        <w:t xml:space="preserve"> ECE/MP.PP/2011/11/Add.3</w:t>
      </w:r>
      <w:r w:rsidRPr="007C254C">
        <w:rPr>
          <w:lang w:val="es-ES"/>
        </w:rPr>
        <w:t>, para. 55.</w:t>
      </w:r>
    </w:p>
  </w:footnote>
  <w:footnote w:id="82">
    <w:p w:rsidR="006F5D5C" w:rsidRPr="00845AEE" w:rsidRDefault="006F5D5C" w:rsidP="00496C12">
      <w:pPr>
        <w:pStyle w:val="FootnoteText"/>
      </w:pPr>
      <w:r>
        <w:rPr>
          <w:szCs w:val="18"/>
        </w:rPr>
        <w:tab/>
      </w:r>
      <w:r>
        <w:rPr>
          <w:szCs w:val="18"/>
        </w:rPr>
        <w:tab/>
      </w:r>
      <w:r w:rsidRPr="00845AEE">
        <w:rPr>
          <w:rStyle w:val="FootnoteReference"/>
          <w:szCs w:val="18"/>
        </w:rPr>
        <w:footnoteRef/>
      </w:r>
      <w:r w:rsidRPr="00845AEE">
        <w:rPr>
          <w:szCs w:val="18"/>
        </w:rPr>
        <w:t xml:space="preserve"> ECE/MP.PP/C.1/2017/17, para. 85.</w:t>
      </w:r>
    </w:p>
  </w:footnote>
  <w:footnote w:id="83">
    <w:p w:rsidR="006F5D5C" w:rsidRPr="006613D3" w:rsidRDefault="006F5D5C" w:rsidP="00F66360">
      <w:pPr>
        <w:pStyle w:val="FootnoteText"/>
        <w:ind w:right="0" w:firstLine="0"/>
        <w:rPr>
          <w:lang w:val="es-ES"/>
        </w:rPr>
      </w:pPr>
      <w:r w:rsidRPr="00695D7A">
        <w:rPr>
          <w:rStyle w:val="FootnoteReference"/>
          <w:lang w:val="en-GB"/>
        </w:rPr>
        <w:footnoteRef/>
      </w:r>
      <w:r w:rsidRPr="007C254C">
        <w:rPr>
          <w:lang w:val="es-ES"/>
        </w:rPr>
        <w:t xml:space="preserve"> ECE/MP.PP/C.1/2009/6/Add.1, para. </w:t>
      </w:r>
      <w:r w:rsidRPr="006613D3">
        <w:rPr>
          <w:lang w:val="es-ES"/>
        </w:rPr>
        <w:t>66.</w:t>
      </w:r>
    </w:p>
  </w:footnote>
  <w:footnote w:id="84">
    <w:p w:rsidR="006F5D5C" w:rsidRPr="00EE6602" w:rsidRDefault="006F5D5C" w:rsidP="00853E2A">
      <w:pPr>
        <w:pStyle w:val="FootnoteText"/>
        <w:rPr>
          <w:szCs w:val="18"/>
        </w:rPr>
      </w:pPr>
      <w:r>
        <w:rPr>
          <w:szCs w:val="18"/>
        </w:rPr>
        <w:tab/>
      </w:r>
      <w:r>
        <w:rPr>
          <w:szCs w:val="18"/>
        </w:rPr>
        <w:tab/>
      </w:r>
      <w:r w:rsidRPr="00F374D0">
        <w:rPr>
          <w:rStyle w:val="FootnoteReference"/>
          <w:szCs w:val="18"/>
        </w:rPr>
        <w:footnoteRef/>
      </w:r>
      <w:r w:rsidRPr="00EE6602">
        <w:rPr>
          <w:szCs w:val="18"/>
        </w:rPr>
        <w:t xml:space="preserve"> ECE/MP.PP/2009/4/Add.1, para</w:t>
      </w:r>
      <w:r w:rsidRPr="00F75126">
        <w:rPr>
          <w:szCs w:val="18"/>
          <w:lang w:val="es-ES"/>
        </w:rPr>
        <w:t>.</w:t>
      </w:r>
      <w:r w:rsidRPr="00EE6602">
        <w:rPr>
          <w:szCs w:val="18"/>
        </w:rPr>
        <w:t xml:space="preserve"> 38.</w:t>
      </w:r>
    </w:p>
  </w:footnote>
  <w:footnote w:id="85">
    <w:p w:rsidR="006F5D5C" w:rsidRPr="00695D7A" w:rsidRDefault="006F5D5C" w:rsidP="00F66360">
      <w:pPr>
        <w:pStyle w:val="FootnoteText"/>
        <w:ind w:firstLine="0"/>
        <w:rPr>
          <w:lang w:val="en-GB"/>
        </w:rPr>
      </w:pPr>
      <w:r w:rsidRPr="00695D7A">
        <w:rPr>
          <w:rStyle w:val="FootnoteReference"/>
          <w:lang w:val="en-GB"/>
        </w:rPr>
        <w:footnoteRef/>
      </w:r>
      <w:r w:rsidRPr="00695D7A">
        <w:rPr>
          <w:lang w:val="en-GB"/>
        </w:rPr>
        <w:t xml:space="preserve"> Annex to letter from the Party concerned</w:t>
      </w:r>
      <w:r w:rsidRPr="0057564B">
        <w:rPr>
          <w:lang w:val="en-GB"/>
        </w:rPr>
        <w:t>, 19 February 2016, pp. 2-3.</w:t>
      </w:r>
    </w:p>
  </w:footnote>
  <w:footnote w:id="86">
    <w:p w:rsidR="006F5D5C" w:rsidRPr="0057564B" w:rsidRDefault="006F5D5C" w:rsidP="00F66360">
      <w:pPr>
        <w:pStyle w:val="FootnoteText"/>
        <w:ind w:firstLine="0"/>
        <w:rPr>
          <w:lang w:val="en-GB"/>
        </w:rPr>
      </w:pPr>
      <w:r w:rsidRPr="00695D7A">
        <w:rPr>
          <w:rStyle w:val="FootnoteReference"/>
          <w:lang w:val="en-GB"/>
        </w:rPr>
        <w:footnoteRef/>
      </w:r>
      <w:r w:rsidRPr="00695D7A">
        <w:rPr>
          <w:lang w:val="en-GB"/>
        </w:rPr>
        <w:t xml:space="preserve"> </w:t>
      </w:r>
      <w:r w:rsidRPr="0057564B">
        <w:rPr>
          <w:lang w:val="en-GB"/>
        </w:rPr>
        <w:t>Annex 3 to letter from the Party concerned, 13 November 2015, paras. 5.1-5.2.</w:t>
      </w:r>
    </w:p>
  </w:footnote>
  <w:footnote w:id="87">
    <w:p w:rsidR="006F5D5C" w:rsidRPr="00695D7A" w:rsidRDefault="006F5D5C" w:rsidP="00F66360">
      <w:pPr>
        <w:pStyle w:val="FootnoteText"/>
        <w:ind w:firstLine="0"/>
        <w:rPr>
          <w:lang w:val="en-GB"/>
        </w:rPr>
      </w:pPr>
      <w:r w:rsidRPr="00695D7A">
        <w:rPr>
          <w:rStyle w:val="FootnoteReference"/>
          <w:lang w:val="en-GB"/>
        </w:rPr>
        <w:footnoteRef/>
      </w:r>
      <w:r w:rsidRPr="00695D7A">
        <w:rPr>
          <w:lang w:val="en-GB"/>
        </w:rPr>
        <w:t xml:space="preserve"> Communicant’s comments, 20 January 2016, para. 10.</w:t>
      </w:r>
    </w:p>
  </w:footnote>
  <w:footnote w:id="88">
    <w:p w:rsidR="006F5D5C" w:rsidRPr="0057564B" w:rsidRDefault="006F5D5C" w:rsidP="00F66360">
      <w:pPr>
        <w:pStyle w:val="FootnoteText"/>
        <w:ind w:right="0" w:firstLine="0"/>
        <w:rPr>
          <w:lang w:val="en-GB"/>
        </w:rPr>
      </w:pPr>
      <w:r w:rsidRPr="00695D7A">
        <w:rPr>
          <w:rStyle w:val="FootnoteReference"/>
          <w:lang w:val="en-GB"/>
        </w:rPr>
        <w:footnoteRef/>
      </w:r>
      <w:r w:rsidRPr="006613D3">
        <w:rPr>
          <w:lang w:val="en-GB"/>
        </w:rPr>
        <w:t xml:space="preserve"> ECE/MP.PP/C.1/2014/12, para. </w:t>
      </w:r>
      <w:r w:rsidRPr="0057564B">
        <w:rPr>
          <w:lang w:val="en-GB"/>
        </w:rPr>
        <w:t>109.</w:t>
      </w:r>
    </w:p>
  </w:footnote>
  <w:footnote w:id="89">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3 to additional information from the Party concerned, 13 November 2015, para. 5.2.</w:t>
      </w:r>
    </w:p>
  </w:footnote>
  <w:footnote w:id="90">
    <w:p w:rsidR="006F5D5C" w:rsidRPr="00695D7A" w:rsidRDefault="006F5D5C" w:rsidP="00F66360">
      <w:pPr>
        <w:pStyle w:val="FootnoteText"/>
        <w:ind w:right="0" w:firstLine="0"/>
        <w:rPr>
          <w:lang w:val="en-GB"/>
        </w:rPr>
      </w:pPr>
      <w:r w:rsidRPr="00695D7A">
        <w:rPr>
          <w:rStyle w:val="FootnoteReference"/>
          <w:lang w:val="en-GB"/>
        </w:rPr>
        <w:footnoteRef/>
      </w:r>
      <w:r w:rsidRPr="00695D7A">
        <w:rPr>
          <w:lang w:val="en-GB"/>
        </w:rPr>
        <w:t xml:space="preserve"> Annex 1 to additional information from the Party concerned, 13 November 2015,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5C" w:rsidRPr="00F56A6B" w:rsidRDefault="006F5D5C" w:rsidP="003E5A96">
    <w:pPr>
      <w:pStyle w:val="Header"/>
      <w:jc w:val="right"/>
    </w:pPr>
    <w:r>
      <w:rPr>
        <w:b w:val="0"/>
      </w:rPr>
      <w:t>ACCC/C/2012/77 (</w:t>
    </w:r>
    <w:smartTag w:uri="urn:schemas-microsoft-com:office:smarttags" w:element="country-region">
      <w:smartTag w:uri="urn:schemas-microsoft-com:office:smarttags" w:element="place">
        <w:r>
          <w:rPr>
            <w:b w:val="0"/>
          </w:rPr>
          <w:t>United Kingdom</w:t>
        </w:r>
      </w:smartTag>
    </w:smartTag>
    <w:r>
      <w:rPr>
        <w:b w:val="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5C" w:rsidRPr="00F56A6B" w:rsidRDefault="006F5D5C" w:rsidP="006970FF">
    <w:pPr>
      <w:pStyle w:val="Header"/>
      <w:jc w:val="right"/>
    </w:pPr>
    <w:r>
      <w:rPr>
        <w:b w:val="0"/>
      </w:rPr>
      <w:t>ACCC/C/2014/104 (Netherlands)</w:t>
    </w:r>
  </w:p>
  <w:p w:rsidR="006F5D5C" w:rsidRPr="00F55EC8" w:rsidRDefault="00F87A46" w:rsidP="00DF7876">
    <w:pPr>
      <w:pStyle w:val="Header"/>
      <w:jc w:val="right"/>
      <w:rPr>
        <w:b w:val="0"/>
      </w:rPr>
    </w:pPr>
    <w:r>
      <w:rPr>
        <w:b w:val="0"/>
      </w:rPr>
      <w:t>Draft findings for parties’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5C" w:rsidRPr="00E32978" w:rsidRDefault="006F5D5C" w:rsidP="00E32978">
    <w:pPr>
      <w:pStyle w:val="Header"/>
      <w:jc w:val="right"/>
      <w:rPr>
        <w:b w:val="0"/>
      </w:rPr>
    </w:pPr>
    <w:r>
      <w:rPr>
        <w:b w:val="0"/>
      </w:rPr>
      <w:t>ACCC/C/2014/104 (Netherlands)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37571"/>
    <w:multiLevelType w:val="hybridMultilevel"/>
    <w:tmpl w:val="9288F6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47F0BE8"/>
    <w:multiLevelType w:val="hybridMultilevel"/>
    <w:tmpl w:val="DE3C4D18"/>
    <w:lvl w:ilvl="0" w:tplc="11BCA316">
      <w:start w:val="1"/>
      <w:numFmt w:val="bullet"/>
      <w:lvlText w:val=""/>
      <w:lvlJc w:val="left"/>
      <w:pPr>
        <w:ind w:left="2421" w:hanging="360"/>
      </w:pPr>
      <w:rPr>
        <w:rFonts w:ascii="Symbol" w:hAnsi="Symbol" w:hint="default"/>
        <w:sz w:val="20"/>
        <w:szCs w:val="20"/>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183D1574"/>
    <w:multiLevelType w:val="hybridMultilevel"/>
    <w:tmpl w:val="7F067D68"/>
    <w:lvl w:ilvl="0" w:tplc="9D8A44FA">
      <w:start w:val="1"/>
      <w:numFmt w:val="decimal"/>
      <w:lvlText w:val="%1."/>
      <w:lvlJc w:val="left"/>
      <w:pPr>
        <w:tabs>
          <w:tab w:val="num" w:pos="1853"/>
        </w:tabs>
        <w:ind w:left="1853" w:hanging="576"/>
      </w:pPr>
      <w:rPr>
        <w:rFonts w:hint="default"/>
        <w:lang w:val="en-GB"/>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 w15:restartNumberingAfterBreak="0">
    <w:nsid w:val="1AF01710"/>
    <w:multiLevelType w:val="hybridMultilevel"/>
    <w:tmpl w:val="D71A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06651"/>
    <w:multiLevelType w:val="hybridMultilevel"/>
    <w:tmpl w:val="A4584A5A"/>
    <w:lvl w:ilvl="0" w:tplc="9776FECC">
      <w:start w:val="1"/>
      <w:numFmt w:val="decimal"/>
      <w:lvlText w:val="%1."/>
      <w:lvlJc w:val="left"/>
      <w:pPr>
        <w:tabs>
          <w:tab w:val="num" w:pos="1569"/>
        </w:tabs>
        <w:ind w:left="1569" w:hanging="576"/>
      </w:pPr>
      <w:rPr>
        <w:rFonts w:hint="default"/>
        <w:lang w:val="en-GB"/>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15:restartNumberingAfterBreak="0">
    <w:nsid w:val="2EB75777"/>
    <w:multiLevelType w:val="hybridMultilevel"/>
    <w:tmpl w:val="23305798"/>
    <w:lvl w:ilvl="0" w:tplc="9D8A44FA">
      <w:start w:val="1"/>
      <w:numFmt w:val="decimal"/>
      <w:lvlText w:val="%1."/>
      <w:lvlJc w:val="left"/>
      <w:pPr>
        <w:tabs>
          <w:tab w:val="num" w:pos="1853"/>
        </w:tabs>
        <w:ind w:left="1853" w:hanging="576"/>
      </w:pPr>
      <w:rPr>
        <w:rFonts w:hint="default"/>
        <w:lang w:val="en-GB"/>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6" w15:restartNumberingAfterBreak="0">
    <w:nsid w:val="386E1414"/>
    <w:multiLevelType w:val="hybridMultilevel"/>
    <w:tmpl w:val="5B08DE46"/>
    <w:lvl w:ilvl="0" w:tplc="C73E0F46">
      <w:start w:val="1"/>
      <w:numFmt w:val="upperLetter"/>
      <w:lvlText w:val="%1."/>
      <w:lvlJc w:val="left"/>
      <w:pPr>
        <w:ind w:left="1128" w:hanging="504"/>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7" w15:restartNumberingAfterBreak="0">
    <w:nsid w:val="49DB27BC"/>
    <w:multiLevelType w:val="hybridMultilevel"/>
    <w:tmpl w:val="063A2F70"/>
    <w:lvl w:ilvl="0" w:tplc="88663CAA">
      <w:start w:val="1"/>
      <w:numFmt w:val="bullet"/>
      <w:lvlText w:val=""/>
      <w:lvlJc w:val="left"/>
      <w:pPr>
        <w:tabs>
          <w:tab w:val="num" w:pos="1853"/>
        </w:tabs>
        <w:ind w:left="1853" w:hanging="576"/>
      </w:pPr>
      <w:rPr>
        <w:rFonts w:ascii="Symbol" w:hAnsi="Symbol" w:hint="default"/>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15:restartNumberingAfterBreak="0">
    <w:nsid w:val="4C115F48"/>
    <w:multiLevelType w:val="hybridMultilevel"/>
    <w:tmpl w:val="4AD2C896"/>
    <w:lvl w:ilvl="0" w:tplc="1CF42F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B51270"/>
    <w:multiLevelType w:val="multilevel"/>
    <w:tmpl w:val="77989E90"/>
    <w:lvl w:ilvl="0">
      <w:start w:val="1"/>
      <w:numFmt w:val="decimal"/>
      <w:lvlText w:val="%1."/>
      <w:lvlJc w:val="left"/>
      <w:pPr>
        <w:tabs>
          <w:tab w:val="num" w:pos="1569"/>
        </w:tabs>
        <w:ind w:left="1569" w:hanging="576"/>
      </w:pPr>
      <w:rPr>
        <w:rFonts w:hint="default"/>
        <w:lang w:val="en-GB"/>
      </w:rPr>
    </w:lvl>
    <w:lvl w:ilvl="1">
      <w:start w:val="1"/>
      <w:numFmt w:val="bullet"/>
      <w:lvlText w:val=""/>
      <w:lvlJc w:val="left"/>
      <w:pPr>
        <w:tabs>
          <w:tab w:val="num" w:pos="2574"/>
        </w:tabs>
        <w:ind w:left="2574" w:hanging="720"/>
      </w:pPr>
      <w:rPr>
        <w:rFonts w:ascii="Symbol" w:hAnsi="Symbol" w:hint="default"/>
        <w:sz w:val="20"/>
        <w:szCs w:val="20"/>
      </w:r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10" w15:restartNumberingAfterBreak="0">
    <w:nsid w:val="52484CE5"/>
    <w:multiLevelType w:val="hybridMultilevel"/>
    <w:tmpl w:val="A7304DD8"/>
    <w:lvl w:ilvl="0" w:tplc="0410000F">
      <w:start w:val="1"/>
      <w:numFmt w:val="decimal"/>
      <w:lvlText w:val="%1."/>
      <w:lvlJc w:val="left"/>
      <w:pPr>
        <w:tabs>
          <w:tab w:val="num" w:pos="1659"/>
        </w:tabs>
        <w:ind w:left="1659" w:hanging="525"/>
      </w:pPr>
      <w:rPr>
        <w:rFonts w:hint="default"/>
      </w:rPr>
    </w:lvl>
    <w:lvl w:ilvl="1" w:tplc="04090019">
      <w:start w:val="1"/>
      <w:numFmt w:val="lowerLetter"/>
      <w:lvlText w:val="%2."/>
      <w:lvlJc w:val="left"/>
      <w:pPr>
        <w:tabs>
          <w:tab w:val="num" w:pos="2214"/>
        </w:tabs>
        <w:ind w:left="2214" w:hanging="360"/>
      </w:p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1" w15:restartNumberingAfterBreak="0">
    <w:nsid w:val="52F134BF"/>
    <w:multiLevelType w:val="hybridMultilevel"/>
    <w:tmpl w:val="77989E90"/>
    <w:lvl w:ilvl="0" w:tplc="9776FECC">
      <w:start w:val="1"/>
      <w:numFmt w:val="decimal"/>
      <w:lvlText w:val="%1."/>
      <w:lvlJc w:val="left"/>
      <w:pPr>
        <w:tabs>
          <w:tab w:val="num" w:pos="1569"/>
        </w:tabs>
        <w:ind w:left="1569" w:hanging="576"/>
      </w:pPr>
      <w:rPr>
        <w:rFonts w:hint="default"/>
        <w:lang w:val="en-GB"/>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15:restartNumberingAfterBreak="0">
    <w:nsid w:val="531751D3"/>
    <w:multiLevelType w:val="hybridMultilevel"/>
    <w:tmpl w:val="66149DC8"/>
    <w:lvl w:ilvl="0" w:tplc="A84ACA3C">
      <w:start w:val="1"/>
      <w:numFmt w:val="decimal"/>
      <w:lvlText w:val="%1."/>
      <w:lvlJc w:val="left"/>
      <w:pPr>
        <w:tabs>
          <w:tab w:val="num" w:pos="1569"/>
        </w:tabs>
        <w:ind w:left="1569" w:hanging="576"/>
      </w:pPr>
      <w:rPr>
        <w:rFonts w:hint="default"/>
        <w:lang w:val="x-none"/>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54AA48BD"/>
    <w:multiLevelType w:val="hybridMultilevel"/>
    <w:tmpl w:val="73BC77EC"/>
    <w:lvl w:ilvl="0" w:tplc="11BCA316">
      <w:start w:val="1"/>
      <w:numFmt w:val="bullet"/>
      <w:lvlText w:val=""/>
      <w:lvlJc w:val="left"/>
      <w:pPr>
        <w:ind w:left="2421" w:hanging="360"/>
      </w:pPr>
      <w:rPr>
        <w:rFonts w:ascii="Symbol" w:hAnsi="Symbol" w:hint="default"/>
        <w:sz w:val="20"/>
        <w:szCs w:val="20"/>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56F37147"/>
    <w:multiLevelType w:val="hybridMultilevel"/>
    <w:tmpl w:val="B420BF1A"/>
    <w:lvl w:ilvl="0" w:tplc="1718744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587E2623"/>
    <w:multiLevelType w:val="hybridMultilevel"/>
    <w:tmpl w:val="84ECE3A6"/>
    <w:lvl w:ilvl="0" w:tplc="B06A77AA">
      <w:start w:val="1"/>
      <w:numFmt w:val="bullet"/>
      <w:lvlText w:val=""/>
      <w:lvlJc w:val="left"/>
      <w:pPr>
        <w:tabs>
          <w:tab w:val="num" w:pos="1569"/>
        </w:tabs>
        <w:ind w:left="1569" w:hanging="576"/>
      </w:pPr>
      <w:rPr>
        <w:rFonts w:ascii="Symbol" w:hAnsi="Symbol" w:hint="default"/>
        <w:lang w:val="en-GB"/>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15:restartNumberingAfterBreak="0">
    <w:nsid w:val="5A595C9A"/>
    <w:multiLevelType w:val="hybridMultilevel"/>
    <w:tmpl w:val="5A54AA68"/>
    <w:lvl w:ilvl="0" w:tplc="34F89090">
      <w:start w:val="1"/>
      <w:numFmt w:val="upperLetter"/>
      <w:lvlText w:val="%1."/>
      <w:lvlJc w:val="left"/>
      <w:pPr>
        <w:tabs>
          <w:tab w:val="num" w:pos="1200"/>
        </w:tabs>
        <w:ind w:left="1200" w:hanging="525"/>
      </w:pPr>
      <w:rPr>
        <w:rFonts w:hint="default"/>
      </w:rPr>
    </w:lvl>
    <w:lvl w:ilvl="1" w:tplc="04090019">
      <w:start w:val="1"/>
      <w:numFmt w:val="lowerLetter"/>
      <w:lvlText w:val="%2."/>
      <w:lvlJc w:val="left"/>
      <w:pPr>
        <w:tabs>
          <w:tab w:val="num" w:pos="1755"/>
        </w:tabs>
        <w:ind w:left="1755" w:hanging="360"/>
      </w:pPr>
    </w:lvl>
    <w:lvl w:ilvl="2" w:tplc="0409001B">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7" w15:restartNumberingAfterBreak="0">
    <w:nsid w:val="5E732D6A"/>
    <w:multiLevelType w:val="hybridMultilevel"/>
    <w:tmpl w:val="1326ECB0"/>
    <w:lvl w:ilvl="0" w:tplc="FEB625A6">
      <w:start w:val="1"/>
      <w:numFmt w:val="decimal"/>
      <w:lvlText w:val="%1."/>
      <w:lvlJc w:val="left"/>
      <w:pPr>
        <w:tabs>
          <w:tab w:val="num" w:pos="1711"/>
        </w:tabs>
        <w:ind w:left="1711" w:hanging="576"/>
      </w:pPr>
      <w:rPr>
        <w:rFonts w:hint="default"/>
        <w:b w:val="0"/>
        <w:i w:val="0"/>
        <w:lang w:val="x-none"/>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8" w15:restartNumberingAfterBreak="0">
    <w:nsid w:val="62EE0F20"/>
    <w:multiLevelType w:val="hybridMultilevel"/>
    <w:tmpl w:val="C1265272"/>
    <w:lvl w:ilvl="0" w:tplc="43DA6E66">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91587"/>
    <w:multiLevelType w:val="hybridMultilevel"/>
    <w:tmpl w:val="B420BF1A"/>
    <w:lvl w:ilvl="0" w:tplc="1718744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56AEE"/>
    <w:multiLevelType w:val="hybridMultilevel"/>
    <w:tmpl w:val="FDA067E0"/>
    <w:lvl w:ilvl="0" w:tplc="A4FE52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4E110C"/>
    <w:multiLevelType w:val="hybridMultilevel"/>
    <w:tmpl w:val="1326ECB0"/>
    <w:lvl w:ilvl="0" w:tplc="FEB625A6">
      <w:start w:val="1"/>
      <w:numFmt w:val="decimal"/>
      <w:lvlText w:val="%1."/>
      <w:lvlJc w:val="left"/>
      <w:pPr>
        <w:tabs>
          <w:tab w:val="num" w:pos="1711"/>
        </w:tabs>
        <w:ind w:left="1711" w:hanging="576"/>
      </w:pPr>
      <w:rPr>
        <w:rFonts w:hint="default"/>
        <w:b w:val="0"/>
        <w:i w:val="0"/>
        <w:lang w:val="x-none"/>
      </w:rPr>
    </w:lvl>
    <w:lvl w:ilvl="1" w:tplc="11BCA316">
      <w:start w:val="1"/>
      <w:numFmt w:val="bullet"/>
      <w:lvlText w:val=""/>
      <w:lvlJc w:val="left"/>
      <w:pPr>
        <w:tabs>
          <w:tab w:val="num" w:pos="2574"/>
        </w:tabs>
        <w:ind w:left="2574" w:hanging="720"/>
      </w:pPr>
      <w:rPr>
        <w:rFonts w:ascii="Symbol" w:hAnsi="Symbol" w:hint="default"/>
        <w:sz w:val="20"/>
        <w:szCs w:val="20"/>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19"/>
  </w:num>
  <w:num w:numId="2">
    <w:abstractNumId w:val="21"/>
  </w:num>
  <w:num w:numId="3">
    <w:abstractNumId w:val="17"/>
  </w:num>
  <w:num w:numId="4">
    <w:abstractNumId w:val="16"/>
  </w:num>
  <w:num w:numId="5">
    <w:abstractNumId w:val="6"/>
  </w:num>
  <w:num w:numId="6">
    <w:abstractNumId w:val="18"/>
  </w:num>
  <w:num w:numId="7">
    <w:abstractNumId w:val="7"/>
  </w:num>
  <w:num w:numId="8">
    <w:abstractNumId w:val="5"/>
  </w:num>
  <w:num w:numId="9">
    <w:abstractNumId w:val="2"/>
  </w:num>
  <w:num w:numId="10">
    <w:abstractNumId w:val="9"/>
  </w:num>
  <w:num w:numId="11">
    <w:abstractNumId w:val="15"/>
  </w:num>
  <w:num w:numId="12">
    <w:abstractNumId w:val="11"/>
  </w:num>
  <w:num w:numId="13">
    <w:abstractNumId w:val="4"/>
  </w:num>
  <w:num w:numId="14">
    <w:abstractNumId w:val="3"/>
  </w:num>
  <w:num w:numId="15">
    <w:abstractNumId w:val="12"/>
  </w:num>
  <w:num w:numId="16">
    <w:abstractNumId w:val="22"/>
  </w:num>
  <w:num w:numId="17">
    <w:abstractNumId w:val="8"/>
  </w:num>
  <w:num w:numId="18">
    <w:abstractNumId w:val="10"/>
  </w:num>
  <w:num w:numId="19">
    <w:abstractNumId w:val="23"/>
  </w:num>
  <w:num w:numId="20">
    <w:abstractNumId w:val="1"/>
  </w:num>
  <w:num w:numId="21">
    <w:abstractNumId w:val="20"/>
  </w:num>
  <w:num w:numId="22">
    <w:abstractNumId w:val="14"/>
  </w:num>
  <w:num w:numId="23">
    <w:abstractNumId w:val="13"/>
  </w:num>
  <w:num w:numId="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en-GB"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ar-SA" w:vendorID="64" w:dllVersion="0" w:nlCheck="1" w:checkStyle="0"/>
  <w:activeWritingStyle w:appName="MSWord" w:lang="ar-SA" w:vendorID="64" w:dllVersion="6" w:nlCheck="1" w:checkStyle="0"/>
  <w:activeWritingStyle w:appName="MSWord" w:lang="es-ES" w:vendorID="64" w:dllVersion="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5C"/>
    <w:rsid w:val="00000DBE"/>
    <w:rsid w:val="000013C1"/>
    <w:rsid w:val="000022C2"/>
    <w:rsid w:val="00002A7D"/>
    <w:rsid w:val="0000309E"/>
    <w:rsid w:val="00003653"/>
    <w:rsid w:val="000038A8"/>
    <w:rsid w:val="00003B5C"/>
    <w:rsid w:val="00004967"/>
    <w:rsid w:val="00004FC3"/>
    <w:rsid w:val="00006790"/>
    <w:rsid w:val="00010513"/>
    <w:rsid w:val="00010802"/>
    <w:rsid w:val="00010EE6"/>
    <w:rsid w:val="0001122D"/>
    <w:rsid w:val="00011690"/>
    <w:rsid w:val="00012205"/>
    <w:rsid w:val="0001257F"/>
    <w:rsid w:val="00012E3A"/>
    <w:rsid w:val="00016049"/>
    <w:rsid w:val="000163E1"/>
    <w:rsid w:val="00016DC3"/>
    <w:rsid w:val="00017DB8"/>
    <w:rsid w:val="00020583"/>
    <w:rsid w:val="00020611"/>
    <w:rsid w:val="00021111"/>
    <w:rsid w:val="0002226C"/>
    <w:rsid w:val="00022B1E"/>
    <w:rsid w:val="00023283"/>
    <w:rsid w:val="000246CE"/>
    <w:rsid w:val="00024C6B"/>
    <w:rsid w:val="00027624"/>
    <w:rsid w:val="000312A8"/>
    <w:rsid w:val="00032020"/>
    <w:rsid w:val="00032585"/>
    <w:rsid w:val="00033BB7"/>
    <w:rsid w:val="000342C4"/>
    <w:rsid w:val="00035055"/>
    <w:rsid w:val="00036FF4"/>
    <w:rsid w:val="0003764F"/>
    <w:rsid w:val="00037CE9"/>
    <w:rsid w:val="0004065D"/>
    <w:rsid w:val="0004116C"/>
    <w:rsid w:val="00041439"/>
    <w:rsid w:val="00042ECF"/>
    <w:rsid w:val="00043F32"/>
    <w:rsid w:val="0004421E"/>
    <w:rsid w:val="00044DDA"/>
    <w:rsid w:val="00044F62"/>
    <w:rsid w:val="00045B8F"/>
    <w:rsid w:val="00045F75"/>
    <w:rsid w:val="000475DC"/>
    <w:rsid w:val="000506B0"/>
    <w:rsid w:val="00050F6B"/>
    <w:rsid w:val="00051700"/>
    <w:rsid w:val="00053308"/>
    <w:rsid w:val="00053653"/>
    <w:rsid w:val="00054A26"/>
    <w:rsid w:val="00055094"/>
    <w:rsid w:val="00055309"/>
    <w:rsid w:val="000602AF"/>
    <w:rsid w:val="00060D95"/>
    <w:rsid w:val="00061BD7"/>
    <w:rsid w:val="00062DF2"/>
    <w:rsid w:val="00066E03"/>
    <w:rsid w:val="000678CD"/>
    <w:rsid w:val="0007027F"/>
    <w:rsid w:val="000702E9"/>
    <w:rsid w:val="00070684"/>
    <w:rsid w:val="00070D34"/>
    <w:rsid w:val="000710CD"/>
    <w:rsid w:val="00072085"/>
    <w:rsid w:val="000723D2"/>
    <w:rsid w:val="00072900"/>
    <w:rsid w:val="00072C8C"/>
    <w:rsid w:val="00072CF5"/>
    <w:rsid w:val="00072F30"/>
    <w:rsid w:val="00074606"/>
    <w:rsid w:val="00074DDC"/>
    <w:rsid w:val="00074F3B"/>
    <w:rsid w:val="00075812"/>
    <w:rsid w:val="0007593C"/>
    <w:rsid w:val="00075F4A"/>
    <w:rsid w:val="000770BA"/>
    <w:rsid w:val="00077B30"/>
    <w:rsid w:val="00081CE0"/>
    <w:rsid w:val="0008357A"/>
    <w:rsid w:val="000845D0"/>
    <w:rsid w:val="000847F2"/>
    <w:rsid w:val="00084D30"/>
    <w:rsid w:val="000878D1"/>
    <w:rsid w:val="00090320"/>
    <w:rsid w:val="00090745"/>
    <w:rsid w:val="00090D28"/>
    <w:rsid w:val="00091B80"/>
    <w:rsid w:val="000923A0"/>
    <w:rsid w:val="00092AA4"/>
    <w:rsid w:val="00092E18"/>
    <w:rsid w:val="00092F94"/>
    <w:rsid w:val="000931C0"/>
    <w:rsid w:val="000931E4"/>
    <w:rsid w:val="0009337D"/>
    <w:rsid w:val="00093823"/>
    <w:rsid w:val="00093BB7"/>
    <w:rsid w:val="00093DB7"/>
    <w:rsid w:val="0009618A"/>
    <w:rsid w:val="0009623C"/>
    <w:rsid w:val="00096E5C"/>
    <w:rsid w:val="00097280"/>
    <w:rsid w:val="000A0087"/>
    <w:rsid w:val="000A0552"/>
    <w:rsid w:val="000A1778"/>
    <w:rsid w:val="000A2543"/>
    <w:rsid w:val="000A2E09"/>
    <w:rsid w:val="000A4024"/>
    <w:rsid w:val="000A46FD"/>
    <w:rsid w:val="000A49F4"/>
    <w:rsid w:val="000A5344"/>
    <w:rsid w:val="000A6F91"/>
    <w:rsid w:val="000A7017"/>
    <w:rsid w:val="000B024F"/>
    <w:rsid w:val="000B06E0"/>
    <w:rsid w:val="000B0BDA"/>
    <w:rsid w:val="000B175B"/>
    <w:rsid w:val="000B1850"/>
    <w:rsid w:val="000B3441"/>
    <w:rsid w:val="000B3A0F"/>
    <w:rsid w:val="000B5012"/>
    <w:rsid w:val="000B53D9"/>
    <w:rsid w:val="000B76CF"/>
    <w:rsid w:val="000B78F5"/>
    <w:rsid w:val="000C0934"/>
    <w:rsid w:val="000C118F"/>
    <w:rsid w:val="000C149A"/>
    <w:rsid w:val="000C2B8B"/>
    <w:rsid w:val="000C5250"/>
    <w:rsid w:val="000C53BC"/>
    <w:rsid w:val="000C6035"/>
    <w:rsid w:val="000C6193"/>
    <w:rsid w:val="000C6C2B"/>
    <w:rsid w:val="000D0B6C"/>
    <w:rsid w:val="000D4149"/>
    <w:rsid w:val="000D5100"/>
    <w:rsid w:val="000D6ADD"/>
    <w:rsid w:val="000D6F5E"/>
    <w:rsid w:val="000D759F"/>
    <w:rsid w:val="000D79EE"/>
    <w:rsid w:val="000E0415"/>
    <w:rsid w:val="000E0880"/>
    <w:rsid w:val="000E210B"/>
    <w:rsid w:val="000E26CA"/>
    <w:rsid w:val="000E29C1"/>
    <w:rsid w:val="000E2A0D"/>
    <w:rsid w:val="000E3640"/>
    <w:rsid w:val="000E5178"/>
    <w:rsid w:val="000E5C7E"/>
    <w:rsid w:val="000E60B6"/>
    <w:rsid w:val="000E6E46"/>
    <w:rsid w:val="000E7270"/>
    <w:rsid w:val="000F0B84"/>
    <w:rsid w:val="000F1B8C"/>
    <w:rsid w:val="000F2E36"/>
    <w:rsid w:val="000F3259"/>
    <w:rsid w:val="000F36D2"/>
    <w:rsid w:val="000F4582"/>
    <w:rsid w:val="000F46FC"/>
    <w:rsid w:val="000F52C2"/>
    <w:rsid w:val="000F587B"/>
    <w:rsid w:val="000F5D20"/>
    <w:rsid w:val="000F638F"/>
    <w:rsid w:val="000F64FD"/>
    <w:rsid w:val="000F68C7"/>
    <w:rsid w:val="000F7086"/>
    <w:rsid w:val="000F7715"/>
    <w:rsid w:val="0010049B"/>
    <w:rsid w:val="001004F5"/>
    <w:rsid w:val="00100968"/>
    <w:rsid w:val="00101070"/>
    <w:rsid w:val="001021DF"/>
    <w:rsid w:val="00102876"/>
    <w:rsid w:val="00105428"/>
    <w:rsid w:val="001067DE"/>
    <w:rsid w:val="00107F74"/>
    <w:rsid w:val="00111239"/>
    <w:rsid w:val="0011227A"/>
    <w:rsid w:val="00112E41"/>
    <w:rsid w:val="001146DD"/>
    <w:rsid w:val="001175D6"/>
    <w:rsid w:val="001178E6"/>
    <w:rsid w:val="00117AF1"/>
    <w:rsid w:val="00117D37"/>
    <w:rsid w:val="00120134"/>
    <w:rsid w:val="00120725"/>
    <w:rsid w:val="0012184B"/>
    <w:rsid w:val="00123597"/>
    <w:rsid w:val="001237BA"/>
    <w:rsid w:val="0012533D"/>
    <w:rsid w:val="0012554A"/>
    <w:rsid w:val="001277F7"/>
    <w:rsid w:val="0012789D"/>
    <w:rsid w:val="00130080"/>
    <w:rsid w:val="00131992"/>
    <w:rsid w:val="00132402"/>
    <w:rsid w:val="0013259A"/>
    <w:rsid w:val="00132C58"/>
    <w:rsid w:val="00134537"/>
    <w:rsid w:val="00134AB3"/>
    <w:rsid w:val="00134E0E"/>
    <w:rsid w:val="00135200"/>
    <w:rsid w:val="00135446"/>
    <w:rsid w:val="00135C2F"/>
    <w:rsid w:val="001364FD"/>
    <w:rsid w:val="00137E80"/>
    <w:rsid w:val="00137FFA"/>
    <w:rsid w:val="0014046C"/>
    <w:rsid w:val="00140F8C"/>
    <w:rsid w:val="00142444"/>
    <w:rsid w:val="00143B06"/>
    <w:rsid w:val="00143FFD"/>
    <w:rsid w:val="001449E7"/>
    <w:rsid w:val="00144EF4"/>
    <w:rsid w:val="0014516B"/>
    <w:rsid w:val="00145DB9"/>
    <w:rsid w:val="00145E4A"/>
    <w:rsid w:val="0014666E"/>
    <w:rsid w:val="00150BBB"/>
    <w:rsid w:val="00151E21"/>
    <w:rsid w:val="00152016"/>
    <w:rsid w:val="00152134"/>
    <w:rsid w:val="00152C18"/>
    <w:rsid w:val="0015334E"/>
    <w:rsid w:val="00153ADF"/>
    <w:rsid w:val="00154132"/>
    <w:rsid w:val="00154195"/>
    <w:rsid w:val="00154EBD"/>
    <w:rsid w:val="001552E7"/>
    <w:rsid w:val="00155F22"/>
    <w:rsid w:val="00156B99"/>
    <w:rsid w:val="00157BC2"/>
    <w:rsid w:val="0016021D"/>
    <w:rsid w:val="00161955"/>
    <w:rsid w:val="001629D7"/>
    <w:rsid w:val="00162EA8"/>
    <w:rsid w:val="00163457"/>
    <w:rsid w:val="00163B55"/>
    <w:rsid w:val="00164515"/>
    <w:rsid w:val="00165D2F"/>
    <w:rsid w:val="00166124"/>
    <w:rsid w:val="00166A23"/>
    <w:rsid w:val="00167825"/>
    <w:rsid w:val="0017014E"/>
    <w:rsid w:val="00170D61"/>
    <w:rsid w:val="00171894"/>
    <w:rsid w:val="00172920"/>
    <w:rsid w:val="00173604"/>
    <w:rsid w:val="001751A2"/>
    <w:rsid w:val="001756A4"/>
    <w:rsid w:val="00175AD0"/>
    <w:rsid w:val="001769B7"/>
    <w:rsid w:val="00180299"/>
    <w:rsid w:val="00180616"/>
    <w:rsid w:val="0018098C"/>
    <w:rsid w:val="0018126D"/>
    <w:rsid w:val="00181F05"/>
    <w:rsid w:val="00184486"/>
    <w:rsid w:val="00184DDA"/>
    <w:rsid w:val="00185938"/>
    <w:rsid w:val="001859D9"/>
    <w:rsid w:val="001863E9"/>
    <w:rsid w:val="00186760"/>
    <w:rsid w:val="00186CF2"/>
    <w:rsid w:val="001876CB"/>
    <w:rsid w:val="00187C43"/>
    <w:rsid w:val="00190063"/>
    <w:rsid w:val="001900CD"/>
    <w:rsid w:val="0019156A"/>
    <w:rsid w:val="001964EB"/>
    <w:rsid w:val="00196C26"/>
    <w:rsid w:val="00196CAA"/>
    <w:rsid w:val="001973AF"/>
    <w:rsid w:val="00197B31"/>
    <w:rsid w:val="001A0452"/>
    <w:rsid w:val="001A0CB5"/>
    <w:rsid w:val="001A0F73"/>
    <w:rsid w:val="001A104B"/>
    <w:rsid w:val="001A1EF2"/>
    <w:rsid w:val="001A20E3"/>
    <w:rsid w:val="001A33D8"/>
    <w:rsid w:val="001A39C4"/>
    <w:rsid w:val="001A417A"/>
    <w:rsid w:val="001A4B8E"/>
    <w:rsid w:val="001A58EE"/>
    <w:rsid w:val="001A64A5"/>
    <w:rsid w:val="001A672C"/>
    <w:rsid w:val="001A7334"/>
    <w:rsid w:val="001A73DF"/>
    <w:rsid w:val="001A7D22"/>
    <w:rsid w:val="001B0663"/>
    <w:rsid w:val="001B3792"/>
    <w:rsid w:val="001B4B04"/>
    <w:rsid w:val="001B5875"/>
    <w:rsid w:val="001B59CE"/>
    <w:rsid w:val="001B5BC1"/>
    <w:rsid w:val="001B661B"/>
    <w:rsid w:val="001B693D"/>
    <w:rsid w:val="001B6C91"/>
    <w:rsid w:val="001B6CE5"/>
    <w:rsid w:val="001C0752"/>
    <w:rsid w:val="001C148C"/>
    <w:rsid w:val="001C1FA9"/>
    <w:rsid w:val="001C2842"/>
    <w:rsid w:val="001C2A1C"/>
    <w:rsid w:val="001C2D82"/>
    <w:rsid w:val="001C3378"/>
    <w:rsid w:val="001C3436"/>
    <w:rsid w:val="001C3763"/>
    <w:rsid w:val="001C4B9C"/>
    <w:rsid w:val="001C5458"/>
    <w:rsid w:val="001C5546"/>
    <w:rsid w:val="001C5783"/>
    <w:rsid w:val="001C5D99"/>
    <w:rsid w:val="001C6301"/>
    <w:rsid w:val="001C6412"/>
    <w:rsid w:val="001C6663"/>
    <w:rsid w:val="001C7895"/>
    <w:rsid w:val="001D00F7"/>
    <w:rsid w:val="001D01E0"/>
    <w:rsid w:val="001D0BB9"/>
    <w:rsid w:val="001D0FF6"/>
    <w:rsid w:val="001D1A44"/>
    <w:rsid w:val="001D26DF"/>
    <w:rsid w:val="001D34F9"/>
    <w:rsid w:val="001D4B92"/>
    <w:rsid w:val="001E0834"/>
    <w:rsid w:val="001E0928"/>
    <w:rsid w:val="001E1C17"/>
    <w:rsid w:val="001E201E"/>
    <w:rsid w:val="001E30DD"/>
    <w:rsid w:val="001E31B1"/>
    <w:rsid w:val="001E38BC"/>
    <w:rsid w:val="001E48A9"/>
    <w:rsid w:val="001E4B4D"/>
    <w:rsid w:val="001E5F28"/>
    <w:rsid w:val="001E60B5"/>
    <w:rsid w:val="001E6889"/>
    <w:rsid w:val="001E79E1"/>
    <w:rsid w:val="001F057D"/>
    <w:rsid w:val="001F1599"/>
    <w:rsid w:val="001F19C4"/>
    <w:rsid w:val="001F1D9A"/>
    <w:rsid w:val="001F21D9"/>
    <w:rsid w:val="001F245A"/>
    <w:rsid w:val="001F2C82"/>
    <w:rsid w:val="001F3962"/>
    <w:rsid w:val="001F3C59"/>
    <w:rsid w:val="001F4DDF"/>
    <w:rsid w:val="001F4EB0"/>
    <w:rsid w:val="001F58B9"/>
    <w:rsid w:val="001F59D4"/>
    <w:rsid w:val="001F6117"/>
    <w:rsid w:val="001F7BAC"/>
    <w:rsid w:val="002003A9"/>
    <w:rsid w:val="002007E9"/>
    <w:rsid w:val="00201105"/>
    <w:rsid w:val="00201624"/>
    <w:rsid w:val="002043F0"/>
    <w:rsid w:val="00204445"/>
    <w:rsid w:val="002059F6"/>
    <w:rsid w:val="00205C4A"/>
    <w:rsid w:val="00205DF4"/>
    <w:rsid w:val="002069F4"/>
    <w:rsid w:val="00207586"/>
    <w:rsid w:val="00207BFD"/>
    <w:rsid w:val="00207E3E"/>
    <w:rsid w:val="0021080A"/>
    <w:rsid w:val="00210C6F"/>
    <w:rsid w:val="00211C5A"/>
    <w:rsid w:val="00211D37"/>
    <w:rsid w:val="00211E0B"/>
    <w:rsid w:val="00212C1E"/>
    <w:rsid w:val="00213D26"/>
    <w:rsid w:val="002140E7"/>
    <w:rsid w:val="00214427"/>
    <w:rsid w:val="00215864"/>
    <w:rsid w:val="00215A0A"/>
    <w:rsid w:val="00216CFC"/>
    <w:rsid w:val="002175B5"/>
    <w:rsid w:val="00217BAF"/>
    <w:rsid w:val="002205AF"/>
    <w:rsid w:val="002208DD"/>
    <w:rsid w:val="00221C91"/>
    <w:rsid w:val="00222283"/>
    <w:rsid w:val="00222E96"/>
    <w:rsid w:val="00222F34"/>
    <w:rsid w:val="002247BB"/>
    <w:rsid w:val="00224838"/>
    <w:rsid w:val="0022535B"/>
    <w:rsid w:val="00225F25"/>
    <w:rsid w:val="002274F3"/>
    <w:rsid w:val="00227ABC"/>
    <w:rsid w:val="00230279"/>
    <w:rsid w:val="00230A91"/>
    <w:rsid w:val="0023144C"/>
    <w:rsid w:val="0023150B"/>
    <w:rsid w:val="00231EEB"/>
    <w:rsid w:val="00231EFB"/>
    <w:rsid w:val="00232527"/>
    <w:rsid w:val="00232575"/>
    <w:rsid w:val="00232AED"/>
    <w:rsid w:val="00232D9C"/>
    <w:rsid w:val="00233233"/>
    <w:rsid w:val="00233D64"/>
    <w:rsid w:val="00234657"/>
    <w:rsid w:val="0023575C"/>
    <w:rsid w:val="00235766"/>
    <w:rsid w:val="002359BA"/>
    <w:rsid w:val="00237127"/>
    <w:rsid w:val="002409E1"/>
    <w:rsid w:val="00240E76"/>
    <w:rsid w:val="002419AD"/>
    <w:rsid w:val="00241F6B"/>
    <w:rsid w:val="00242D8E"/>
    <w:rsid w:val="00243D15"/>
    <w:rsid w:val="00243EB0"/>
    <w:rsid w:val="00246C69"/>
    <w:rsid w:val="00247258"/>
    <w:rsid w:val="00247EC2"/>
    <w:rsid w:val="002516FB"/>
    <w:rsid w:val="00251AD5"/>
    <w:rsid w:val="0025336F"/>
    <w:rsid w:val="00254825"/>
    <w:rsid w:val="00254B3C"/>
    <w:rsid w:val="00254BB2"/>
    <w:rsid w:val="00256423"/>
    <w:rsid w:val="0025668A"/>
    <w:rsid w:val="00256BD3"/>
    <w:rsid w:val="00257BA6"/>
    <w:rsid w:val="00257CAC"/>
    <w:rsid w:val="00261341"/>
    <w:rsid w:val="00261668"/>
    <w:rsid w:val="002635EA"/>
    <w:rsid w:val="002651FC"/>
    <w:rsid w:val="0026529C"/>
    <w:rsid w:val="00265FFC"/>
    <w:rsid w:val="002660E3"/>
    <w:rsid w:val="00267A4B"/>
    <w:rsid w:val="002721ED"/>
    <w:rsid w:val="0027237A"/>
    <w:rsid w:val="0027248C"/>
    <w:rsid w:val="002725A4"/>
    <w:rsid w:val="0027336C"/>
    <w:rsid w:val="00273381"/>
    <w:rsid w:val="00274074"/>
    <w:rsid w:val="00276AA2"/>
    <w:rsid w:val="002772C8"/>
    <w:rsid w:val="00277807"/>
    <w:rsid w:val="002800A0"/>
    <w:rsid w:val="00281BEA"/>
    <w:rsid w:val="002820F2"/>
    <w:rsid w:val="002826AE"/>
    <w:rsid w:val="00283712"/>
    <w:rsid w:val="002837CF"/>
    <w:rsid w:val="00283C2C"/>
    <w:rsid w:val="0028649A"/>
    <w:rsid w:val="00286AFF"/>
    <w:rsid w:val="00287B29"/>
    <w:rsid w:val="0029192F"/>
    <w:rsid w:val="002925C9"/>
    <w:rsid w:val="00292743"/>
    <w:rsid w:val="00292775"/>
    <w:rsid w:val="00292C55"/>
    <w:rsid w:val="00293149"/>
    <w:rsid w:val="00293250"/>
    <w:rsid w:val="00293365"/>
    <w:rsid w:val="0029366E"/>
    <w:rsid w:val="00293ADB"/>
    <w:rsid w:val="00294FBB"/>
    <w:rsid w:val="0029535D"/>
    <w:rsid w:val="00296EFE"/>
    <w:rsid w:val="00296F5C"/>
    <w:rsid w:val="002974E9"/>
    <w:rsid w:val="002A025B"/>
    <w:rsid w:val="002A09EE"/>
    <w:rsid w:val="002A1B2E"/>
    <w:rsid w:val="002A314F"/>
    <w:rsid w:val="002A5850"/>
    <w:rsid w:val="002A67B1"/>
    <w:rsid w:val="002A6A42"/>
    <w:rsid w:val="002A72BE"/>
    <w:rsid w:val="002A7F39"/>
    <w:rsid w:val="002A7F94"/>
    <w:rsid w:val="002B0396"/>
    <w:rsid w:val="002B049C"/>
    <w:rsid w:val="002B05C5"/>
    <w:rsid w:val="002B109A"/>
    <w:rsid w:val="002B28DC"/>
    <w:rsid w:val="002B2A50"/>
    <w:rsid w:val="002B2CED"/>
    <w:rsid w:val="002B2E08"/>
    <w:rsid w:val="002B31AF"/>
    <w:rsid w:val="002B3EB7"/>
    <w:rsid w:val="002B44A2"/>
    <w:rsid w:val="002B4A1A"/>
    <w:rsid w:val="002B4A29"/>
    <w:rsid w:val="002B7B46"/>
    <w:rsid w:val="002B7ED9"/>
    <w:rsid w:val="002C0297"/>
    <w:rsid w:val="002C12DE"/>
    <w:rsid w:val="002C3127"/>
    <w:rsid w:val="002C46A7"/>
    <w:rsid w:val="002C62D8"/>
    <w:rsid w:val="002C6D45"/>
    <w:rsid w:val="002C6E6E"/>
    <w:rsid w:val="002D074B"/>
    <w:rsid w:val="002D1A7D"/>
    <w:rsid w:val="002D209E"/>
    <w:rsid w:val="002D3580"/>
    <w:rsid w:val="002D407F"/>
    <w:rsid w:val="002D4425"/>
    <w:rsid w:val="002D45EE"/>
    <w:rsid w:val="002D4DE8"/>
    <w:rsid w:val="002D5262"/>
    <w:rsid w:val="002D6221"/>
    <w:rsid w:val="002D6E46"/>
    <w:rsid w:val="002D6E53"/>
    <w:rsid w:val="002D6ECB"/>
    <w:rsid w:val="002D7782"/>
    <w:rsid w:val="002E07BD"/>
    <w:rsid w:val="002E156E"/>
    <w:rsid w:val="002E1BAB"/>
    <w:rsid w:val="002E26B2"/>
    <w:rsid w:val="002E3DC2"/>
    <w:rsid w:val="002E5250"/>
    <w:rsid w:val="002E5404"/>
    <w:rsid w:val="002E62EF"/>
    <w:rsid w:val="002E64E8"/>
    <w:rsid w:val="002E65C6"/>
    <w:rsid w:val="002E669F"/>
    <w:rsid w:val="002E6EAA"/>
    <w:rsid w:val="002E7566"/>
    <w:rsid w:val="002E76F9"/>
    <w:rsid w:val="002F046D"/>
    <w:rsid w:val="002F11A3"/>
    <w:rsid w:val="002F134E"/>
    <w:rsid w:val="002F1CC6"/>
    <w:rsid w:val="002F2C8C"/>
    <w:rsid w:val="002F3272"/>
    <w:rsid w:val="002F3BD5"/>
    <w:rsid w:val="002F69B1"/>
    <w:rsid w:val="002F751E"/>
    <w:rsid w:val="00301764"/>
    <w:rsid w:val="00301DC8"/>
    <w:rsid w:val="0030310B"/>
    <w:rsid w:val="0030343F"/>
    <w:rsid w:val="0030626B"/>
    <w:rsid w:val="003065C2"/>
    <w:rsid w:val="0030799C"/>
    <w:rsid w:val="00307D76"/>
    <w:rsid w:val="003103CD"/>
    <w:rsid w:val="0031195A"/>
    <w:rsid w:val="00312A1F"/>
    <w:rsid w:val="00313422"/>
    <w:rsid w:val="00313E62"/>
    <w:rsid w:val="003141B9"/>
    <w:rsid w:val="00314BCF"/>
    <w:rsid w:val="00314D0C"/>
    <w:rsid w:val="0031512A"/>
    <w:rsid w:val="0031582E"/>
    <w:rsid w:val="00315974"/>
    <w:rsid w:val="003167EB"/>
    <w:rsid w:val="00320197"/>
    <w:rsid w:val="003219EC"/>
    <w:rsid w:val="00321AAF"/>
    <w:rsid w:val="003229D8"/>
    <w:rsid w:val="00323352"/>
    <w:rsid w:val="00323ACD"/>
    <w:rsid w:val="00324004"/>
    <w:rsid w:val="00324746"/>
    <w:rsid w:val="00326F0E"/>
    <w:rsid w:val="00330088"/>
    <w:rsid w:val="00330A8B"/>
    <w:rsid w:val="00330B76"/>
    <w:rsid w:val="00331D29"/>
    <w:rsid w:val="00332658"/>
    <w:rsid w:val="003329BE"/>
    <w:rsid w:val="00332A58"/>
    <w:rsid w:val="00332E7C"/>
    <w:rsid w:val="0033340E"/>
    <w:rsid w:val="00333C0C"/>
    <w:rsid w:val="003342FF"/>
    <w:rsid w:val="00335129"/>
    <w:rsid w:val="00336C97"/>
    <w:rsid w:val="00336EDD"/>
    <w:rsid w:val="00336FB4"/>
    <w:rsid w:val="00337F88"/>
    <w:rsid w:val="00342432"/>
    <w:rsid w:val="0034244F"/>
    <w:rsid w:val="00342B5C"/>
    <w:rsid w:val="00342E5A"/>
    <w:rsid w:val="00344265"/>
    <w:rsid w:val="00344FD8"/>
    <w:rsid w:val="00345594"/>
    <w:rsid w:val="00345D3F"/>
    <w:rsid w:val="003470D4"/>
    <w:rsid w:val="00347DD4"/>
    <w:rsid w:val="00347F53"/>
    <w:rsid w:val="00350531"/>
    <w:rsid w:val="003505BD"/>
    <w:rsid w:val="0035078B"/>
    <w:rsid w:val="00352125"/>
    <w:rsid w:val="0035223F"/>
    <w:rsid w:val="00352795"/>
    <w:rsid w:val="00352AED"/>
    <w:rsid w:val="00352D4B"/>
    <w:rsid w:val="0035363D"/>
    <w:rsid w:val="003539FD"/>
    <w:rsid w:val="00353A0E"/>
    <w:rsid w:val="003542AC"/>
    <w:rsid w:val="00354614"/>
    <w:rsid w:val="00355E80"/>
    <w:rsid w:val="0035622B"/>
    <w:rsid w:val="0035638C"/>
    <w:rsid w:val="00357611"/>
    <w:rsid w:val="0035773A"/>
    <w:rsid w:val="003578B9"/>
    <w:rsid w:val="00360479"/>
    <w:rsid w:val="0036052C"/>
    <w:rsid w:val="00364147"/>
    <w:rsid w:val="003649F6"/>
    <w:rsid w:val="00365B88"/>
    <w:rsid w:val="00366108"/>
    <w:rsid w:val="00366575"/>
    <w:rsid w:val="003677F3"/>
    <w:rsid w:val="0037058A"/>
    <w:rsid w:val="003706F2"/>
    <w:rsid w:val="00370AF1"/>
    <w:rsid w:val="003714BE"/>
    <w:rsid w:val="0037190C"/>
    <w:rsid w:val="003723A5"/>
    <w:rsid w:val="00373726"/>
    <w:rsid w:val="00373760"/>
    <w:rsid w:val="00374093"/>
    <w:rsid w:val="00374100"/>
    <w:rsid w:val="00375989"/>
    <w:rsid w:val="00375A6B"/>
    <w:rsid w:val="003768F4"/>
    <w:rsid w:val="00376E68"/>
    <w:rsid w:val="0038042A"/>
    <w:rsid w:val="00381399"/>
    <w:rsid w:val="00381F6A"/>
    <w:rsid w:val="0038255E"/>
    <w:rsid w:val="00382F50"/>
    <w:rsid w:val="00382F93"/>
    <w:rsid w:val="00384368"/>
    <w:rsid w:val="0038542F"/>
    <w:rsid w:val="00385DB5"/>
    <w:rsid w:val="00386557"/>
    <w:rsid w:val="00386DF8"/>
    <w:rsid w:val="00387467"/>
    <w:rsid w:val="00390E9C"/>
    <w:rsid w:val="00390F0D"/>
    <w:rsid w:val="003918E6"/>
    <w:rsid w:val="00393117"/>
    <w:rsid w:val="00394743"/>
    <w:rsid w:val="0039668C"/>
    <w:rsid w:val="0039695D"/>
    <w:rsid w:val="003975B8"/>
    <w:rsid w:val="00397F21"/>
    <w:rsid w:val="003A00E9"/>
    <w:rsid w:val="003A1DEE"/>
    <w:rsid w:val="003A2415"/>
    <w:rsid w:val="003A27E9"/>
    <w:rsid w:val="003A383F"/>
    <w:rsid w:val="003A40ED"/>
    <w:rsid w:val="003A46BB"/>
    <w:rsid w:val="003A4EC7"/>
    <w:rsid w:val="003A4F16"/>
    <w:rsid w:val="003A51FF"/>
    <w:rsid w:val="003A58FA"/>
    <w:rsid w:val="003A6563"/>
    <w:rsid w:val="003A7295"/>
    <w:rsid w:val="003A7F75"/>
    <w:rsid w:val="003B0968"/>
    <w:rsid w:val="003B10CB"/>
    <w:rsid w:val="003B17C8"/>
    <w:rsid w:val="003B1F1C"/>
    <w:rsid w:val="003B1F60"/>
    <w:rsid w:val="003B2B81"/>
    <w:rsid w:val="003B3299"/>
    <w:rsid w:val="003B3919"/>
    <w:rsid w:val="003B3E25"/>
    <w:rsid w:val="003B4D03"/>
    <w:rsid w:val="003B5440"/>
    <w:rsid w:val="003B5E44"/>
    <w:rsid w:val="003B6DAD"/>
    <w:rsid w:val="003B6EBB"/>
    <w:rsid w:val="003B7A60"/>
    <w:rsid w:val="003B7B9C"/>
    <w:rsid w:val="003C097D"/>
    <w:rsid w:val="003C0B02"/>
    <w:rsid w:val="003C0D69"/>
    <w:rsid w:val="003C140A"/>
    <w:rsid w:val="003C1BA9"/>
    <w:rsid w:val="003C1E65"/>
    <w:rsid w:val="003C2391"/>
    <w:rsid w:val="003C2650"/>
    <w:rsid w:val="003C28F2"/>
    <w:rsid w:val="003C2C05"/>
    <w:rsid w:val="003C2CC4"/>
    <w:rsid w:val="003C3820"/>
    <w:rsid w:val="003C3E36"/>
    <w:rsid w:val="003C4884"/>
    <w:rsid w:val="003C56AA"/>
    <w:rsid w:val="003C730B"/>
    <w:rsid w:val="003D0BF1"/>
    <w:rsid w:val="003D356E"/>
    <w:rsid w:val="003D3C57"/>
    <w:rsid w:val="003D4B23"/>
    <w:rsid w:val="003D51B4"/>
    <w:rsid w:val="003D51B5"/>
    <w:rsid w:val="003D6D1C"/>
    <w:rsid w:val="003D7A0D"/>
    <w:rsid w:val="003D7E11"/>
    <w:rsid w:val="003E0A3E"/>
    <w:rsid w:val="003E0FF1"/>
    <w:rsid w:val="003E1286"/>
    <w:rsid w:val="003E13D2"/>
    <w:rsid w:val="003E15E6"/>
    <w:rsid w:val="003E1946"/>
    <w:rsid w:val="003E278A"/>
    <w:rsid w:val="003E3387"/>
    <w:rsid w:val="003E39BA"/>
    <w:rsid w:val="003E4349"/>
    <w:rsid w:val="003E481A"/>
    <w:rsid w:val="003E5A96"/>
    <w:rsid w:val="003E5B12"/>
    <w:rsid w:val="003E5B33"/>
    <w:rsid w:val="003E692A"/>
    <w:rsid w:val="003F0F2F"/>
    <w:rsid w:val="003F2604"/>
    <w:rsid w:val="003F27B7"/>
    <w:rsid w:val="003F2EE5"/>
    <w:rsid w:val="003F3205"/>
    <w:rsid w:val="003F3377"/>
    <w:rsid w:val="003F56A0"/>
    <w:rsid w:val="003F57D7"/>
    <w:rsid w:val="003F601B"/>
    <w:rsid w:val="003F6209"/>
    <w:rsid w:val="003F63AE"/>
    <w:rsid w:val="003F6597"/>
    <w:rsid w:val="003F7208"/>
    <w:rsid w:val="003F7DFB"/>
    <w:rsid w:val="00401638"/>
    <w:rsid w:val="0040249C"/>
    <w:rsid w:val="004025BD"/>
    <w:rsid w:val="004038CC"/>
    <w:rsid w:val="00404753"/>
    <w:rsid w:val="00404846"/>
    <w:rsid w:val="00404D22"/>
    <w:rsid w:val="00405C81"/>
    <w:rsid w:val="00405D04"/>
    <w:rsid w:val="00406BC0"/>
    <w:rsid w:val="00407035"/>
    <w:rsid w:val="00407D49"/>
    <w:rsid w:val="00410916"/>
    <w:rsid w:val="00410F0F"/>
    <w:rsid w:val="00412F48"/>
    <w:rsid w:val="004131FA"/>
    <w:rsid w:val="00413520"/>
    <w:rsid w:val="004135F7"/>
    <w:rsid w:val="0041514C"/>
    <w:rsid w:val="004153CE"/>
    <w:rsid w:val="00417B63"/>
    <w:rsid w:val="00420E57"/>
    <w:rsid w:val="00421588"/>
    <w:rsid w:val="00421962"/>
    <w:rsid w:val="0042201F"/>
    <w:rsid w:val="00422328"/>
    <w:rsid w:val="00422915"/>
    <w:rsid w:val="00422974"/>
    <w:rsid w:val="00424945"/>
    <w:rsid w:val="00424995"/>
    <w:rsid w:val="00425BAA"/>
    <w:rsid w:val="00426489"/>
    <w:rsid w:val="00426A82"/>
    <w:rsid w:val="00426B3F"/>
    <w:rsid w:val="00426CC2"/>
    <w:rsid w:val="00427E4E"/>
    <w:rsid w:val="00430B15"/>
    <w:rsid w:val="004325CB"/>
    <w:rsid w:val="00432D79"/>
    <w:rsid w:val="00433085"/>
    <w:rsid w:val="00433627"/>
    <w:rsid w:val="00433C21"/>
    <w:rsid w:val="00436A97"/>
    <w:rsid w:val="00437F2F"/>
    <w:rsid w:val="004402D3"/>
    <w:rsid w:val="00440A07"/>
    <w:rsid w:val="00441CEE"/>
    <w:rsid w:val="00442421"/>
    <w:rsid w:val="0044280C"/>
    <w:rsid w:val="00444B81"/>
    <w:rsid w:val="00444DFF"/>
    <w:rsid w:val="004469A2"/>
    <w:rsid w:val="00446B0F"/>
    <w:rsid w:val="0045180A"/>
    <w:rsid w:val="004524BA"/>
    <w:rsid w:val="004527AD"/>
    <w:rsid w:val="004528C2"/>
    <w:rsid w:val="0046030A"/>
    <w:rsid w:val="00460E96"/>
    <w:rsid w:val="0046277B"/>
    <w:rsid w:val="00462880"/>
    <w:rsid w:val="004630FB"/>
    <w:rsid w:val="004635DB"/>
    <w:rsid w:val="004648FE"/>
    <w:rsid w:val="00464BFE"/>
    <w:rsid w:val="00465B0B"/>
    <w:rsid w:val="00466119"/>
    <w:rsid w:val="0046676F"/>
    <w:rsid w:val="00466792"/>
    <w:rsid w:val="0046767D"/>
    <w:rsid w:val="004679F3"/>
    <w:rsid w:val="00467B52"/>
    <w:rsid w:val="00471092"/>
    <w:rsid w:val="004710F2"/>
    <w:rsid w:val="00473A5C"/>
    <w:rsid w:val="00473B2F"/>
    <w:rsid w:val="004744B4"/>
    <w:rsid w:val="00474828"/>
    <w:rsid w:val="00474E7F"/>
    <w:rsid w:val="00475A52"/>
    <w:rsid w:val="00475B36"/>
    <w:rsid w:val="004761A3"/>
    <w:rsid w:val="00476674"/>
    <w:rsid w:val="00476D3B"/>
    <w:rsid w:val="00476E85"/>
    <w:rsid w:val="00476F24"/>
    <w:rsid w:val="00477630"/>
    <w:rsid w:val="004777F3"/>
    <w:rsid w:val="0048021F"/>
    <w:rsid w:val="004803AC"/>
    <w:rsid w:val="004807B7"/>
    <w:rsid w:val="0048082D"/>
    <w:rsid w:val="0048092E"/>
    <w:rsid w:val="00481FAB"/>
    <w:rsid w:val="00482AFF"/>
    <w:rsid w:val="00484A79"/>
    <w:rsid w:val="00486632"/>
    <w:rsid w:val="00486D71"/>
    <w:rsid w:val="00487263"/>
    <w:rsid w:val="00487E5A"/>
    <w:rsid w:val="00490830"/>
    <w:rsid w:val="00492C5B"/>
    <w:rsid w:val="0049326A"/>
    <w:rsid w:val="004939C6"/>
    <w:rsid w:val="00495202"/>
    <w:rsid w:val="0049582A"/>
    <w:rsid w:val="00496294"/>
    <w:rsid w:val="00496C12"/>
    <w:rsid w:val="004972BC"/>
    <w:rsid w:val="004A09F1"/>
    <w:rsid w:val="004A0DC2"/>
    <w:rsid w:val="004A2FC2"/>
    <w:rsid w:val="004A38AC"/>
    <w:rsid w:val="004A3FF1"/>
    <w:rsid w:val="004A53B0"/>
    <w:rsid w:val="004A65E6"/>
    <w:rsid w:val="004A6D3B"/>
    <w:rsid w:val="004B1E10"/>
    <w:rsid w:val="004B2844"/>
    <w:rsid w:val="004B3786"/>
    <w:rsid w:val="004B38AB"/>
    <w:rsid w:val="004B3DC1"/>
    <w:rsid w:val="004B3F76"/>
    <w:rsid w:val="004B4FD4"/>
    <w:rsid w:val="004B57E5"/>
    <w:rsid w:val="004B5D5E"/>
    <w:rsid w:val="004C010F"/>
    <w:rsid w:val="004C1C9F"/>
    <w:rsid w:val="004C3AFC"/>
    <w:rsid w:val="004C5018"/>
    <w:rsid w:val="004C5542"/>
    <w:rsid w:val="004C55B0"/>
    <w:rsid w:val="004D0846"/>
    <w:rsid w:val="004D1198"/>
    <w:rsid w:val="004D13C5"/>
    <w:rsid w:val="004D22C3"/>
    <w:rsid w:val="004D24F1"/>
    <w:rsid w:val="004D28B0"/>
    <w:rsid w:val="004D2E2E"/>
    <w:rsid w:val="004D439C"/>
    <w:rsid w:val="004D4789"/>
    <w:rsid w:val="004D48FE"/>
    <w:rsid w:val="004D5D5C"/>
    <w:rsid w:val="004D6048"/>
    <w:rsid w:val="004D6064"/>
    <w:rsid w:val="004D690B"/>
    <w:rsid w:val="004D74CB"/>
    <w:rsid w:val="004D7552"/>
    <w:rsid w:val="004D7C5F"/>
    <w:rsid w:val="004D7FA4"/>
    <w:rsid w:val="004E05E2"/>
    <w:rsid w:val="004E097F"/>
    <w:rsid w:val="004E0F10"/>
    <w:rsid w:val="004E1D34"/>
    <w:rsid w:val="004E4067"/>
    <w:rsid w:val="004E699D"/>
    <w:rsid w:val="004E6D06"/>
    <w:rsid w:val="004E6D18"/>
    <w:rsid w:val="004E777C"/>
    <w:rsid w:val="004E7F7F"/>
    <w:rsid w:val="004F0890"/>
    <w:rsid w:val="004F0913"/>
    <w:rsid w:val="004F0A6F"/>
    <w:rsid w:val="004F3504"/>
    <w:rsid w:val="004F3B0A"/>
    <w:rsid w:val="004F3DB7"/>
    <w:rsid w:val="004F4F12"/>
    <w:rsid w:val="004F5577"/>
    <w:rsid w:val="004F6BA0"/>
    <w:rsid w:val="004F6C13"/>
    <w:rsid w:val="004F7AA7"/>
    <w:rsid w:val="004F7FA5"/>
    <w:rsid w:val="0050067E"/>
    <w:rsid w:val="0050258C"/>
    <w:rsid w:val="00503BEA"/>
    <w:rsid w:val="00504802"/>
    <w:rsid w:val="0050603C"/>
    <w:rsid w:val="0050627E"/>
    <w:rsid w:val="0050669D"/>
    <w:rsid w:val="00506870"/>
    <w:rsid w:val="0050716D"/>
    <w:rsid w:val="0050725B"/>
    <w:rsid w:val="005074D1"/>
    <w:rsid w:val="00507D24"/>
    <w:rsid w:val="00511346"/>
    <w:rsid w:val="00511975"/>
    <w:rsid w:val="00512243"/>
    <w:rsid w:val="00512898"/>
    <w:rsid w:val="00512985"/>
    <w:rsid w:val="00513724"/>
    <w:rsid w:val="00513BDB"/>
    <w:rsid w:val="005142DE"/>
    <w:rsid w:val="00515D78"/>
    <w:rsid w:val="005162E0"/>
    <w:rsid w:val="0051716A"/>
    <w:rsid w:val="00517998"/>
    <w:rsid w:val="00517CCE"/>
    <w:rsid w:val="0052180E"/>
    <w:rsid w:val="0052195E"/>
    <w:rsid w:val="00522B7C"/>
    <w:rsid w:val="00522CB4"/>
    <w:rsid w:val="00523482"/>
    <w:rsid w:val="00523C3B"/>
    <w:rsid w:val="00525890"/>
    <w:rsid w:val="00525E51"/>
    <w:rsid w:val="005263A9"/>
    <w:rsid w:val="00526FE3"/>
    <w:rsid w:val="00527EA4"/>
    <w:rsid w:val="0053101B"/>
    <w:rsid w:val="00531D2C"/>
    <w:rsid w:val="00531F0C"/>
    <w:rsid w:val="0053288A"/>
    <w:rsid w:val="00532D61"/>
    <w:rsid w:val="00532F7F"/>
    <w:rsid w:val="005331E8"/>
    <w:rsid w:val="00533616"/>
    <w:rsid w:val="005346F0"/>
    <w:rsid w:val="00535664"/>
    <w:rsid w:val="00535807"/>
    <w:rsid w:val="00535ABA"/>
    <w:rsid w:val="005360A3"/>
    <w:rsid w:val="0053768B"/>
    <w:rsid w:val="00537952"/>
    <w:rsid w:val="0054018E"/>
    <w:rsid w:val="00540A8F"/>
    <w:rsid w:val="0054163E"/>
    <w:rsid w:val="0054177F"/>
    <w:rsid w:val="00541BB7"/>
    <w:rsid w:val="005420F2"/>
    <w:rsid w:val="0054214A"/>
    <w:rsid w:val="0054285C"/>
    <w:rsid w:val="005439ED"/>
    <w:rsid w:val="005441D4"/>
    <w:rsid w:val="005450D9"/>
    <w:rsid w:val="00545E74"/>
    <w:rsid w:val="00546751"/>
    <w:rsid w:val="0054680F"/>
    <w:rsid w:val="00546C33"/>
    <w:rsid w:val="00546CA5"/>
    <w:rsid w:val="005472EB"/>
    <w:rsid w:val="00547C2C"/>
    <w:rsid w:val="00547EC6"/>
    <w:rsid w:val="00550864"/>
    <w:rsid w:val="00551641"/>
    <w:rsid w:val="00551DAF"/>
    <w:rsid w:val="00551F94"/>
    <w:rsid w:val="005521F0"/>
    <w:rsid w:val="00552878"/>
    <w:rsid w:val="00552AED"/>
    <w:rsid w:val="00552C73"/>
    <w:rsid w:val="00552F98"/>
    <w:rsid w:val="005533E9"/>
    <w:rsid w:val="00553474"/>
    <w:rsid w:val="00553502"/>
    <w:rsid w:val="005546EA"/>
    <w:rsid w:val="00555597"/>
    <w:rsid w:val="00555D44"/>
    <w:rsid w:val="00556146"/>
    <w:rsid w:val="00556A51"/>
    <w:rsid w:val="00557D94"/>
    <w:rsid w:val="0056000C"/>
    <w:rsid w:val="00561956"/>
    <w:rsid w:val="00561CED"/>
    <w:rsid w:val="00562958"/>
    <w:rsid w:val="00562C2B"/>
    <w:rsid w:val="00564BC6"/>
    <w:rsid w:val="00565E16"/>
    <w:rsid w:val="00566FC6"/>
    <w:rsid w:val="005708E4"/>
    <w:rsid w:val="0057123B"/>
    <w:rsid w:val="00571A50"/>
    <w:rsid w:val="00572DDF"/>
    <w:rsid w:val="00572F9C"/>
    <w:rsid w:val="00573A7D"/>
    <w:rsid w:val="00574DAB"/>
    <w:rsid w:val="0057564B"/>
    <w:rsid w:val="00576CC0"/>
    <w:rsid w:val="005770E8"/>
    <w:rsid w:val="00577927"/>
    <w:rsid w:val="00577B1E"/>
    <w:rsid w:val="00577C01"/>
    <w:rsid w:val="00582F9D"/>
    <w:rsid w:val="00582FDE"/>
    <w:rsid w:val="00583035"/>
    <w:rsid w:val="00584173"/>
    <w:rsid w:val="00586CE1"/>
    <w:rsid w:val="005877E8"/>
    <w:rsid w:val="00587C4B"/>
    <w:rsid w:val="005907B8"/>
    <w:rsid w:val="0059318E"/>
    <w:rsid w:val="005934E9"/>
    <w:rsid w:val="00593522"/>
    <w:rsid w:val="005936FF"/>
    <w:rsid w:val="00593DB8"/>
    <w:rsid w:val="005942A8"/>
    <w:rsid w:val="0059494E"/>
    <w:rsid w:val="00595520"/>
    <w:rsid w:val="005A0277"/>
    <w:rsid w:val="005A0673"/>
    <w:rsid w:val="005A1E24"/>
    <w:rsid w:val="005A2245"/>
    <w:rsid w:val="005A2255"/>
    <w:rsid w:val="005A269D"/>
    <w:rsid w:val="005A372A"/>
    <w:rsid w:val="005A3B41"/>
    <w:rsid w:val="005A3BC2"/>
    <w:rsid w:val="005A44B9"/>
    <w:rsid w:val="005A467C"/>
    <w:rsid w:val="005A47CA"/>
    <w:rsid w:val="005A7327"/>
    <w:rsid w:val="005A7A2C"/>
    <w:rsid w:val="005B19C7"/>
    <w:rsid w:val="005B1A85"/>
    <w:rsid w:val="005B1BA0"/>
    <w:rsid w:val="005B262E"/>
    <w:rsid w:val="005B2897"/>
    <w:rsid w:val="005B2D06"/>
    <w:rsid w:val="005B3509"/>
    <w:rsid w:val="005B3C6A"/>
    <w:rsid w:val="005B3DB3"/>
    <w:rsid w:val="005B4931"/>
    <w:rsid w:val="005B4980"/>
    <w:rsid w:val="005B4BC6"/>
    <w:rsid w:val="005B5BBA"/>
    <w:rsid w:val="005C2279"/>
    <w:rsid w:val="005C2A86"/>
    <w:rsid w:val="005C3540"/>
    <w:rsid w:val="005C3EB0"/>
    <w:rsid w:val="005C3FB5"/>
    <w:rsid w:val="005C535B"/>
    <w:rsid w:val="005C5A1D"/>
    <w:rsid w:val="005C5CBB"/>
    <w:rsid w:val="005C655A"/>
    <w:rsid w:val="005C6884"/>
    <w:rsid w:val="005C7287"/>
    <w:rsid w:val="005C7AAF"/>
    <w:rsid w:val="005C7CE7"/>
    <w:rsid w:val="005D000F"/>
    <w:rsid w:val="005D07FD"/>
    <w:rsid w:val="005D133C"/>
    <w:rsid w:val="005D15CA"/>
    <w:rsid w:val="005D2A2E"/>
    <w:rsid w:val="005D2FB3"/>
    <w:rsid w:val="005D3E4D"/>
    <w:rsid w:val="005D4A36"/>
    <w:rsid w:val="005D50CD"/>
    <w:rsid w:val="005D5440"/>
    <w:rsid w:val="005E3B52"/>
    <w:rsid w:val="005E4F88"/>
    <w:rsid w:val="005F0F7C"/>
    <w:rsid w:val="005F213D"/>
    <w:rsid w:val="005F22F8"/>
    <w:rsid w:val="005F3066"/>
    <w:rsid w:val="005F37D4"/>
    <w:rsid w:val="005F3E61"/>
    <w:rsid w:val="005F3FA2"/>
    <w:rsid w:val="005F4FE7"/>
    <w:rsid w:val="005F53CC"/>
    <w:rsid w:val="005F5F36"/>
    <w:rsid w:val="00600384"/>
    <w:rsid w:val="0060207C"/>
    <w:rsid w:val="00603A2F"/>
    <w:rsid w:val="006047AA"/>
    <w:rsid w:val="006047F0"/>
    <w:rsid w:val="00604DDD"/>
    <w:rsid w:val="00604E19"/>
    <w:rsid w:val="00604E1C"/>
    <w:rsid w:val="00604F3A"/>
    <w:rsid w:val="00606380"/>
    <w:rsid w:val="006064CA"/>
    <w:rsid w:val="006066EE"/>
    <w:rsid w:val="00610E99"/>
    <w:rsid w:val="00611587"/>
    <w:rsid w:val="006115CC"/>
    <w:rsid w:val="00611FC4"/>
    <w:rsid w:val="00612522"/>
    <w:rsid w:val="00614380"/>
    <w:rsid w:val="006144A8"/>
    <w:rsid w:val="00614C26"/>
    <w:rsid w:val="00615B65"/>
    <w:rsid w:val="00616E4A"/>
    <w:rsid w:val="00616F19"/>
    <w:rsid w:val="0061719E"/>
    <w:rsid w:val="006176FB"/>
    <w:rsid w:val="0062192F"/>
    <w:rsid w:val="006227CA"/>
    <w:rsid w:val="006236BF"/>
    <w:rsid w:val="006236D0"/>
    <w:rsid w:val="0062578E"/>
    <w:rsid w:val="00625B83"/>
    <w:rsid w:val="00625BBA"/>
    <w:rsid w:val="00626B06"/>
    <w:rsid w:val="00627420"/>
    <w:rsid w:val="00630FCB"/>
    <w:rsid w:val="0063153F"/>
    <w:rsid w:val="0063163D"/>
    <w:rsid w:val="006318F1"/>
    <w:rsid w:val="00631C64"/>
    <w:rsid w:val="0063229B"/>
    <w:rsid w:val="0063258C"/>
    <w:rsid w:val="00632B72"/>
    <w:rsid w:val="00633B82"/>
    <w:rsid w:val="00635214"/>
    <w:rsid w:val="00636A7D"/>
    <w:rsid w:val="0063729E"/>
    <w:rsid w:val="0064002E"/>
    <w:rsid w:val="006402F1"/>
    <w:rsid w:val="006403F0"/>
    <w:rsid w:val="00640587"/>
    <w:rsid w:val="00640B26"/>
    <w:rsid w:val="006411A3"/>
    <w:rsid w:val="00641DFE"/>
    <w:rsid w:val="0064478E"/>
    <w:rsid w:val="00644905"/>
    <w:rsid w:val="006459DE"/>
    <w:rsid w:val="006462C9"/>
    <w:rsid w:val="0064635A"/>
    <w:rsid w:val="0065006F"/>
    <w:rsid w:val="0065191F"/>
    <w:rsid w:val="00651A69"/>
    <w:rsid w:val="00652BF2"/>
    <w:rsid w:val="00652ED1"/>
    <w:rsid w:val="00653605"/>
    <w:rsid w:val="00653723"/>
    <w:rsid w:val="006540FE"/>
    <w:rsid w:val="00654B99"/>
    <w:rsid w:val="00654FC5"/>
    <w:rsid w:val="006557EB"/>
    <w:rsid w:val="00655FDE"/>
    <w:rsid w:val="006607C3"/>
    <w:rsid w:val="00660C5D"/>
    <w:rsid w:val="00660E31"/>
    <w:rsid w:val="006613D3"/>
    <w:rsid w:val="00661A4B"/>
    <w:rsid w:val="006621AD"/>
    <w:rsid w:val="00663F89"/>
    <w:rsid w:val="00666846"/>
    <w:rsid w:val="00667870"/>
    <w:rsid w:val="00667E95"/>
    <w:rsid w:val="00667ED6"/>
    <w:rsid w:val="00667FA2"/>
    <w:rsid w:val="006722AC"/>
    <w:rsid w:val="00674374"/>
    <w:rsid w:val="00674AF8"/>
    <w:rsid w:val="00675DBD"/>
    <w:rsid w:val="00676E81"/>
    <w:rsid w:val="00676ECE"/>
    <w:rsid w:val="006770B2"/>
    <w:rsid w:val="00677717"/>
    <w:rsid w:val="00677D70"/>
    <w:rsid w:val="00677DF4"/>
    <w:rsid w:val="00677E06"/>
    <w:rsid w:val="00682C19"/>
    <w:rsid w:val="00683167"/>
    <w:rsid w:val="00683C0A"/>
    <w:rsid w:val="00683D1C"/>
    <w:rsid w:val="00684468"/>
    <w:rsid w:val="0068447C"/>
    <w:rsid w:val="00684ADC"/>
    <w:rsid w:val="00684BFA"/>
    <w:rsid w:val="00684F05"/>
    <w:rsid w:val="00685B0A"/>
    <w:rsid w:val="00686D42"/>
    <w:rsid w:val="0068707F"/>
    <w:rsid w:val="0068782B"/>
    <w:rsid w:val="006913E1"/>
    <w:rsid w:val="00691D51"/>
    <w:rsid w:val="006929EE"/>
    <w:rsid w:val="00693151"/>
    <w:rsid w:val="0069319A"/>
    <w:rsid w:val="006940E1"/>
    <w:rsid w:val="00694C82"/>
    <w:rsid w:val="006952E3"/>
    <w:rsid w:val="00695543"/>
    <w:rsid w:val="00695D7A"/>
    <w:rsid w:val="006970FF"/>
    <w:rsid w:val="006A0DCD"/>
    <w:rsid w:val="006A15D7"/>
    <w:rsid w:val="006A26FC"/>
    <w:rsid w:val="006A28A3"/>
    <w:rsid w:val="006A3287"/>
    <w:rsid w:val="006A3446"/>
    <w:rsid w:val="006A3C72"/>
    <w:rsid w:val="006A48F6"/>
    <w:rsid w:val="006A53F8"/>
    <w:rsid w:val="006A5423"/>
    <w:rsid w:val="006A60D7"/>
    <w:rsid w:val="006A71A2"/>
    <w:rsid w:val="006A7392"/>
    <w:rsid w:val="006A753F"/>
    <w:rsid w:val="006A7975"/>
    <w:rsid w:val="006B03A1"/>
    <w:rsid w:val="006B0BB1"/>
    <w:rsid w:val="006B2C24"/>
    <w:rsid w:val="006B3019"/>
    <w:rsid w:val="006B30FC"/>
    <w:rsid w:val="006B381B"/>
    <w:rsid w:val="006B3DDD"/>
    <w:rsid w:val="006B3ED4"/>
    <w:rsid w:val="006B3EFA"/>
    <w:rsid w:val="006B4892"/>
    <w:rsid w:val="006B4D0C"/>
    <w:rsid w:val="006B53E2"/>
    <w:rsid w:val="006B5592"/>
    <w:rsid w:val="006B6179"/>
    <w:rsid w:val="006B6731"/>
    <w:rsid w:val="006B67D9"/>
    <w:rsid w:val="006B7AAA"/>
    <w:rsid w:val="006C12A8"/>
    <w:rsid w:val="006C1463"/>
    <w:rsid w:val="006C1F82"/>
    <w:rsid w:val="006C2066"/>
    <w:rsid w:val="006C2544"/>
    <w:rsid w:val="006C2AA6"/>
    <w:rsid w:val="006C2E89"/>
    <w:rsid w:val="006C347B"/>
    <w:rsid w:val="006C5535"/>
    <w:rsid w:val="006C5E47"/>
    <w:rsid w:val="006C6708"/>
    <w:rsid w:val="006C6C18"/>
    <w:rsid w:val="006C7A45"/>
    <w:rsid w:val="006D0399"/>
    <w:rsid w:val="006D0589"/>
    <w:rsid w:val="006D15BB"/>
    <w:rsid w:val="006D293C"/>
    <w:rsid w:val="006D2C44"/>
    <w:rsid w:val="006D3751"/>
    <w:rsid w:val="006D3C48"/>
    <w:rsid w:val="006D40FA"/>
    <w:rsid w:val="006D46FC"/>
    <w:rsid w:val="006D4C43"/>
    <w:rsid w:val="006D4D22"/>
    <w:rsid w:val="006D5619"/>
    <w:rsid w:val="006D5624"/>
    <w:rsid w:val="006D6A2E"/>
    <w:rsid w:val="006E072C"/>
    <w:rsid w:val="006E0DA0"/>
    <w:rsid w:val="006E1689"/>
    <w:rsid w:val="006E1CD1"/>
    <w:rsid w:val="006E1D45"/>
    <w:rsid w:val="006E3A52"/>
    <w:rsid w:val="006E40D1"/>
    <w:rsid w:val="006E470A"/>
    <w:rsid w:val="006E54C3"/>
    <w:rsid w:val="006E564B"/>
    <w:rsid w:val="006E6E23"/>
    <w:rsid w:val="006E7154"/>
    <w:rsid w:val="006E7A2A"/>
    <w:rsid w:val="006F0365"/>
    <w:rsid w:val="006F0B77"/>
    <w:rsid w:val="006F13B0"/>
    <w:rsid w:val="006F2077"/>
    <w:rsid w:val="006F2F35"/>
    <w:rsid w:val="006F345D"/>
    <w:rsid w:val="006F417B"/>
    <w:rsid w:val="006F5D5C"/>
    <w:rsid w:val="006F71C0"/>
    <w:rsid w:val="006F7379"/>
    <w:rsid w:val="006F7735"/>
    <w:rsid w:val="006F7A38"/>
    <w:rsid w:val="006F7E76"/>
    <w:rsid w:val="006F7E91"/>
    <w:rsid w:val="006F7EBA"/>
    <w:rsid w:val="007003CD"/>
    <w:rsid w:val="007007D3"/>
    <w:rsid w:val="007010F4"/>
    <w:rsid w:val="007020B7"/>
    <w:rsid w:val="00703065"/>
    <w:rsid w:val="007037FA"/>
    <w:rsid w:val="00703DAE"/>
    <w:rsid w:val="00704D4E"/>
    <w:rsid w:val="0070604A"/>
    <w:rsid w:val="007062A9"/>
    <w:rsid w:val="0070701E"/>
    <w:rsid w:val="00707615"/>
    <w:rsid w:val="0071002B"/>
    <w:rsid w:val="00710054"/>
    <w:rsid w:val="00710513"/>
    <w:rsid w:val="007108B4"/>
    <w:rsid w:val="00711956"/>
    <w:rsid w:val="00711B30"/>
    <w:rsid w:val="00712C76"/>
    <w:rsid w:val="00713686"/>
    <w:rsid w:val="00713D1E"/>
    <w:rsid w:val="007140EF"/>
    <w:rsid w:val="0071599B"/>
    <w:rsid w:val="00715FCC"/>
    <w:rsid w:val="00716CF5"/>
    <w:rsid w:val="00717079"/>
    <w:rsid w:val="007175C9"/>
    <w:rsid w:val="007200B5"/>
    <w:rsid w:val="0072095F"/>
    <w:rsid w:val="00721281"/>
    <w:rsid w:val="0072271A"/>
    <w:rsid w:val="00724CF9"/>
    <w:rsid w:val="00725045"/>
    <w:rsid w:val="00726202"/>
    <w:rsid w:val="0072632A"/>
    <w:rsid w:val="007265E1"/>
    <w:rsid w:val="0073008A"/>
    <w:rsid w:val="007337AC"/>
    <w:rsid w:val="00734216"/>
    <w:rsid w:val="007358E8"/>
    <w:rsid w:val="00735F0D"/>
    <w:rsid w:val="00736ECE"/>
    <w:rsid w:val="00737B3D"/>
    <w:rsid w:val="00741850"/>
    <w:rsid w:val="007423CC"/>
    <w:rsid w:val="00743572"/>
    <w:rsid w:val="00744391"/>
    <w:rsid w:val="0074533B"/>
    <w:rsid w:val="00746268"/>
    <w:rsid w:val="007464BC"/>
    <w:rsid w:val="007464D3"/>
    <w:rsid w:val="00746974"/>
    <w:rsid w:val="007474C1"/>
    <w:rsid w:val="00747B51"/>
    <w:rsid w:val="00750324"/>
    <w:rsid w:val="00750827"/>
    <w:rsid w:val="007519A9"/>
    <w:rsid w:val="007528CB"/>
    <w:rsid w:val="00755751"/>
    <w:rsid w:val="00755A94"/>
    <w:rsid w:val="00755EE5"/>
    <w:rsid w:val="00756759"/>
    <w:rsid w:val="00760761"/>
    <w:rsid w:val="007609F3"/>
    <w:rsid w:val="00761BF6"/>
    <w:rsid w:val="00762A26"/>
    <w:rsid w:val="00762DC0"/>
    <w:rsid w:val="00763954"/>
    <w:rsid w:val="007643BC"/>
    <w:rsid w:val="0076481D"/>
    <w:rsid w:val="0076547E"/>
    <w:rsid w:val="00765F1E"/>
    <w:rsid w:val="00766A12"/>
    <w:rsid w:val="00766CE9"/>
    <w:rsid w:val="00767E27"/>
    <w:rsid w:val="007735B9"/>
    <w:rsid w:val="007753BC"/>
    <w:rsid w:val="00776BB6"/>
    <w:rsid w:val="00776BBE"/>
    <w:rsid w:val="007775A8"/>
    <w:rsid w:val="0078235C"/>
    <w:rsid w:val="007826C3"/>
    <w:rsid w:val="00783E00"/>
    <w:rsid w:val="0078467F"/>
    <w:rsid w:val="007864DA"/>
    <w:rsid w:val="00786676"/>
    <w:rsid w:val="0078723A"/>
    <w:rsid w:val="00791CAB"/>
    <w:rsid w:val="00795746"/>
    <w:rsid w:val="007959FE"/>
    <w:rsid w:val="0079625A"/>
    <w:rsid w:val="00797748"/>
    <w:rsid w:val="00797FEC"/>
    <w:rsid w:val="007A00A1"/>
    <w:rsid w:val="007A0CF1"/>
    <w:rsid w:val="007A111F"/>
    <w:rsid w:val="007A1337"/>
    <w:rsid w:val="007A14B3"/>
    <w:rsid w:val="007A1E16"/>
    <w:rsid w:val="007A31D5"/>
    <w:rsid w:val="007A371B"/>
    <w:rsid w:val="007A37C9"/>
    <w:rsid w:val="007A38D4"/>
    <w:rsid w:val="007A3A48"/>
    <w:rsid w:val="007A5083"/>
    <w:rsid w:val="007A5C94"/>
    <w:rsid w:val="007A5F11"/>
    <w:rsid w:val="007A6626"/>
    <w:rsid w:val="007A7F2C"/>
    <w:rsid w:val="007A7F31"/>
    <w:rsid w:val="007B0B9B"/>
    <w:rsid w:val="007B0E21"/>
    <w:rsid w:val="007B1529"/>
    <w:rsid w:val="007B186F"/>
    <w:rsid w:val="007B228B"/>
    <w:rsid w:val="007B25B2"/>
    <w:rsid w:val="007B3257"/>
    <w:rsid w:val="007B3538"/>
    <w:rsid w:val="007B41FB"/>
    <w:rsid w:val="007B518F"/>
    <w:rsid w:val="007B5A23"/>
    <w:rsid w:val="007B5D39"/>
    <w:rsid w:val="007B5E74"/>
    <w:rsid w:val="007B69CF"/>
    <w:rsid w:val="007B6A03"/>
    <w:rsid w:val="007B6BA5"/>
    <w:rsid w:val="007B72A5"/>
    <w:rsid w:val="007B73D0"/>
    <w:rsid w:val="007B7D86"/>
    <w:rsid w:val="007C004B"/>
    <w:rsid w:val="007C0AD3"/>
    <w:rsid w:val="007C15E4"/>
    <w:rsid w:val="007C16B4"/>
    <w:rsid w:val="007C1948"/>
    <w:rsid w:val="007C254C"/>
    <w:rsid w:val="007C3390"/>
    <w:rsid w:val="007C42D8"/>
    <w:rsid w:val="007C4F4B"/>
    <w:rsid w:val="007C5AD8"/>
    <w:rsid w:val="007C6059"/>
    <w:rsid w:val="007C652E"/>
    <w:rsid w:val="007C7022"/>
    <w:rsid w:val="007C7070"/>
    <w:rsid w:val="007C7A69"/>
    <w:rsid w:val="007D0659"/>
    <w:rsid w:val="007D11CE"/>
    <w:rsid w:val="007D13B0"/>
    <w:rsid w:val="007D13F9"/>
    <w:rsid w:val="007D1459"/>
    <w:rsid w:val="007D2CD1"/>
    <w:rsid w:val="007D36F8"/>
    <w:rsid w:val="007D385D"/>
    <w:rsid w:val="007D4E5A"/>
    <w:rsid w:val="007D542B"/>
    <w:rsid w:val="007D59EE"/>
    <w:rsid w:val="007D66C3"/>
    <w:rsid w:val="007D66EB"/>
    <w:rsid w:val="007D6B2A"/>
    <w:rsid w:val="007D6B7E"/>
    <w:rsid w:val="007D7040"/>
    <w:rsid w:val="007D7362"/>
    <w:rsid w:val="007D7B8A"/>
    <w:rsid w:val="007E0837"/>
    <w:rsid w:val="007E09C7"/>
    <w:rsid w:val="007E0C26"/>
    <w:rsid w:val="007E127C"/>
    <w:rsid w:val="007E180D"/>
    <w:rsid w:val="007E1B59"/>
    <w:rsid w:val="007E460F"/>
    <w:rsid w:val="007E4882"/>
    <w:rsid w:val="007E4E07"/>
    <w:rsid w:val="007E5AD3"/>
    <w:rsid w:val="007E74CD"/>
    <w:rsid w:val="007E7BFE"/>
    <w:rsid w:val="007E7D0F"/>
    <w:rsid w:val="007F09E7"/>
    <w:rsid w:val="007F0ADA"/>
    <w:rsid w:val="007F0BE6"/>
    <w:rsid w:val="007F1741"/>
    <w:rsid w:val="007F17D2"/>
    <w:rsid w:val="007F1A75"/>
    <w:rsid w:val="007F3304"/>
    <w:rsid w:val="007F3849"/>
    <w:rsid w:val="007F4298"/>
    <w:rsid w:val="007F4968"/>
    <w:rsid w:val="007F537E"/>
    <w:rsid w:val="007F5CE2"/>
    <w:rsid w:val="007F5D02"/>
    <w:rsid w:val="007F6237"/>
    <w:rsid w:val="007F6611"/>
    <w:rsid w:val="007F6C5B"/>
    <w:rsid w:val="00800135"/>
    <w:rsid w:val="008009EC"/>
    <w:rsid w:val="00800BB7"/>
    <w:rsid w:val="00802DCD"/>
    <w:rsid w:val="00803446"/>
    <w:rsid w:val="0080361F"/>
    <w:rsid w:val="00803856"/>
    <w:rsid w:val="00804B8A"/>
    <w:rsid w:val="00804F68"/>
    <w:rsid w:val="008054D8"/>
    <w:rsid w:val="00806BA8"/>
    <w:rsid w:val="00806EED"/>
    <w:rsid w:val="00810004"/>
    <w:rsid w:val="00810171"/>
    <w:rsid w:val="00810BAC"/>
    <w:rsid w:val="00811150"/>
    <w:rsid w:val="0081268F"/>
    <w:rsid w:val="0081380A"/>
    <w:rsid w:val="0081464B"/>
    <w:rsid w:val="00814D5E"/>
    <w:rsid w:val="00815356"/>
    <w:rsid w:val="008154D4"/>
    <w:rsid w:val="008158C7"/>
    <w:rsid w:val="00816087"/>
    <w:rsid w:val="00816F95"/>
    <w:rsid w:val="00817465"/>
    <w:rsid w:val="00817477"/>
    <w:rsid w:val="008175E9"/>
    <w:rsid w:val="00820453"/>
    <w:rsid w:val="00820586"/>
    <w:rsid w:val="00820626"/>
    <w:rsid w:val="00820A5B"/>
    <w:rsid w:val="008227B6"/>
    <w:rsid w:val="0082376F"/>
    <w:rsid w:val="00823A2C"/>
    <w:rsid w:val="00824165"/>
    <w:rsid w:val="008242D7"/>
    <w:rsid w:val="00824B3D"/>
    <w:rsid w:val="0082514B"/>
    <w:rsid w:val="00825265"/>
    <w:rsid w:val="0082577B"/>
    <w:rsid w:val="008302CB"/>
    <w:rsid w:val="00830F51"/>
    <w:rsid w:val="00831F6D"/>
    <w:rsid w:val="00834430"/>
    <w:rsid w:val="008344C8"/>
    <w:rsid w:val="00836AF6"/>
    <w:rsid w:val="00837407"/>
    <w:rsid w:val="00837781"/>
    <w:rsid w:val="008408DF"/>
    <w:rsid w:val="00841A60"/>
    <w:rsid w:val="00841ABA"/>
    <w:rsid w:val="008422B3"/>
    <w:rsid w:val="00842764"/>
    <w:rsid w:val="00844D58"/>
    <w:rsid w:val="008451FE"/>
    <w:rsid w:val="00845445"/>
    <w:rsid w:val="00846D33"/>
    <w:rsid w:val="00847498"/>
    <w:rsid w:val="0085036B"/>
    <w:rsid w:val="00850374"/>
    <w:rsid w:val="008507FB"/>
    <w:rsid w:val="00850F72"/>
    <w:rsid w:val="00853AB8"/>
    <w:rsid w:val="00853E2A"/>
    <w:rsid w:val="00853F72"/>
    <w:rsid w:val="008544FF"/>
    <w:rsid w:val="008549DF"/>
    <w:rsid w:val="00855484"/>
    <w:rsid w:val="00855F1D"/>
    <w:rsid w:val="0085603B"/>
    <w:rsid w:val="0085639E"/>
    <w:rsid w:val="00856A92"/>
    <w:rsid w:val="0085746B"/>
    <w:rsid w:val="00857792"/>
    <w:rsid w:val="00861092"/>
    <w:rsid w:val="00862A98"/>
    <w:rsid w:val="00862BC3"/>
    <w:rsid w:val="008637AD"/>
    <w:rsid w:val="00864B3E"/>
    <w:rsid w:val="00864CDF"/>
    <w:rsid w:val="0086603E"/>
    <w:rsid w:val="0086650F"/>
    <w:rsid w:val="00866893"/>
    <w:rsid w:val="00866F02"/>
    <w:rsid w:val="008672C5"/>
    <w:rsid w:val="008674A4"/>
    <w:rsid w:val="00867BE1"/>
    <w:rsid w:val="00867D18"/>
    <w:rsid w:val="00870C04"/>
    <w:rsid w:val="00871F9A"/>
    <w:rsid w:val="00871FD5"/>
    <w:rsid w:val="00872E9C"/>
    <w:rsid w:val="0087418F"/>
    <w:rsid w:val="00874449"/>
    <w:rsid w:val="00875B84"/>
    <w:rsid w:val="0087634A"/>
    <w:rsid w:val="00877167"/>
    <w:rsid w:val="00877D39"/>
    <w:rsid w:val="008806E8"/>
    <w:rsid w:val="008807A5"/>
    <w:rsid w:val="00881096"/>
    <w:rsid w:val="0088172E"/>
    <w:rsid w:val="00881CC8"/>
    <w:rsid w:val="00881D94"/>
    <w:rsid w:val="00881E56"/>
    <w:rsid w:val="00881EAA"/>
    <w:rsid w:val="00881EFA"/>
    <w:rsid w:val="00881F5E"/>
    <w:rsid w:val="00882154"/>
    <w:rsid w:val="00882597"/>
    <w:rsid w:val="008831CB"/>
    <w:rsid w:val="008836A8"/>
    <w:rsid w:val="00883E6E"/>
    <w:rsid w:val="00885937"/>
    <w:rsid w:val="008859F2"/>
    <w:rsid w:val="00885C77"/>
    <w:rsid w:val="00885F19"/>
    <w:rsid w:val="00887413"/>
    <w:rsid w:val="008874F9"/>
    <w:rsid w:val="008879CB"/>
    <w:rsid w:val="008904E9"/>
    <w:rsid w:val="00890F81"/>
    <w:rsid w:val="00893207"/>
    <w:rsid w:val="00893219"/>
    <w:rsid w:val="00893AF8"/>
    <w:rsid w:val="00896B65"/>
    <w:rsid w:val="00897625"/>
    <w:rsid w:val="008979B1"/>
    <w:rsid w:val="008A384E"/>
    <w:rsid w:val="008A4814"/>
    <w:rsid w:val="008A5AF7"/>
    <w:rsid w:val="008A6984"/>
    <w:rsid w:val="008A6B25"/>
    <w:rsid w:val="008A6C4F"/>
    <w:rsid w:val="008A7779"/>
    <w:rsid w:val="008B0174"/>
    <w:rsid w:val="008B0F0C"/>
    <w:rsid w:val="008B1AEA"/>
    <w:rsid w:val="008B25D6"/>
    <w:rsid w:val="008B389E"/>
    <w:rsid w:val="008B3F05"/>
    <w:rsid w:val="008B41F1"/>
    <w:rsid w:val="008B4947"/>
    <w:rsid w:val="008B4E57"/>
    <w:rsid w:val="008B5157"/>
    <w:rsid w:val="008B5C79"/>
    <w:rsid w:val="008B64E9"/>
    <w:rsid w:val="008B6944"/>
    <w:rsid w:val="008C00A2"/>
    <w:rsid w:val="008C18EC"/>
    <w:rsid w:val="008C1ADD"/>
    <w:rsid w:val="008C20D9"/>
    <w:rsid w:val="008C2725"/>
    <w:rsid w:val="008C353E"/>
    <w:rsid w:val="008C4E0A"/>
    <w:rsid w:val="008C5499"/>
    <w:rsid w:val="008C5BA0"/>
    <w:rsid w:val="008C6C31"/>
    <w:rsid w:val="008D045E"/>
    <w:rsid w:val="008D0F21"/>
    <w:rsid w:val="008D12BF"/>
    <w:rsid w:val="008D1D09"/>
    <w:rsid w:val="008D35EF"/>
    <w:rsid w:val="008D36DC"/>
    <w:rsid w:val="008D3F25"/>
    <w:rsid w:val="008D4D82"/>
    <w:rsid w:val="008D4E2B"/>
    <w:rsid w:val="008D76BD"/>
    <w:rsid w:val="008D7CCE"/>
    <w:rsid w:val="008E0B0A"/>
    <w:rsid w:val="008E0E46"/>
    <w:rsid w:val="008E34B9"/>
    <w:rsid w:val="008E42CC"/>
    <w:rsid w:val="008E4581"/>
    <w:rsid w:val="008E4F31"/>
    <w:rsid w:val="008E504D"/>
    <w:rsid w:val="008E56A6"/>
    <w:rsid w:val="008E58AB"/>
    <w:rsid w:val="008E5C48"/>
    <w:rsid w:val="008E5E0D"/>
    <w:rsid w:val="008E6834"/>
    <w:rsid w:val="008E7116"/>
    <w:rsid w:val="008E78C8"/>
    <w:rsid w:val="008E7C07"/>
    <w:rsid w:val="008E7E29"/>
    <w:rsid w:val="008F0000"/>
    <w:rsid w:val="008F0B41"/>
    <w:rsid w:val="008F143B"/>
    <w:rsid w:val="008F1A96"/>
    <w:rsid w:val="008F1F09"/>
    <w:rsid w:val="008F2685"/>
    <w:rsid w:val="008F2DEF"/>
    <w:rsid w:val="008F2E9A"/>
    <w:rsid w:val="008F3882"/>
    <w:rsid w:val="008F4A90"/>
    <w:rsid w:val="008F4B7C"/>
    <w:rsid w:val="008F6AC3"/>
    <w:rsid w:val="008F6BC2"/>
    <w:rsid w:val="008F6DB8"/>
    <w:rsid w:val="008F6F7E"/>
    <w:rsid w:val="00900A0C"/>
    <w:rsid w:val="00900C29"/>
    <w:rsid w:val="009013EC"/>
    <w:rsid w:val="00901D30"/>
    <w:rsid w:val="00902338"/>
    <w:rsid w:val="00902A20"/>
    <w:rsid w:val="009030FB"/>
    <w:rsid w:val="00904680"/>
    <w:rsid w:val="00910695"/>
    <w:rsid w:val="00910981"/>
    <w:rsid w:val="00910CCE"/>
    <w:rsid w:val="009110A6"/>
    <w:rsid w:val="009117C4"/>
    <w:rsid w:val="009119DD"/>
    <w:rsid w:val="0091279A"/>
    <w:rsid w:val="00912E09"/>
    <w:rsid w:val="009130BD"/>
    <w:rsid w:val="00913982"/>
    <w:rsid w:val="00913C16"/>
    <w:rsid w:val="00914E7A"/>
    <w:rsid w:val="0091505F"/>
    <w:rsid w:val="009154AF"/>
    <w:rsid w:val="00915B42"/>
    <w:rsid w:val="009173DA"/>
    <w:rsid w:val="00922A35"/>
    <w:rsid w:val="00922C23"/>
    <w:rsid w:val="00925A4C"/>
    <w:rsid w:val="00926169"/>
    <w:rsid w:val="009268C7"/>
    <w:rsid w:val="00926E47"/>
    <w:rsid w:val="00930211"/>
    <w:rsid w:val="00930AE5"/>
    <w:rsid w:val="00930B8D"/>
    <w:rsid w:val="00931813"/>
    <w:rsid w:val="00934683"/>
    <w:rsid w:val="00934C66"/>
    <w:rsid w:val="0093525F"/>
    <w:rsid w:val="009373F7"/>
    <w:rsid w:val="00937A89"/>
    <w:rsid w:val="00937B95"/>
    <w:rsid w:val="0094197C"/>
    <w:rsid w:val="00942FE6"/>
    <w:rsid w:val="00944A8A"/>
    <w:rsid w:val="00944E98"/>
    <w:rsid w:val="00944F1C"/>
    <w:rsid w:val="00945824"/>
    <w:rsid w:val="00945A74"/>
    <w:rsid w:val="00947162"/>
    <w:rsid w:val="00950346"/>
    <w:rsid w:val="00950367"/>
    <w:rsid w:val="009516A0"/>
    <w:rsid w:val="00952E32"/>
    <w:rsid w:val="009542A2"/>
    <w:rsid w:val="00954E99"/>
    <w:rsid w:val="009553E7"/>
    <w:rsid w:val="009557E7"/>
    <w:rsid w:val="00955D5F"/>
    <w:rsid w:val="00955E45"/>
    <w:rsid w:val="00956F82"/>
    <w:rsid w:val="00957F0C"/>
    <w:rsid w:val="009610D0"/>
    <w:rsid w:val="009616A0"/>
    <w:rsid w:val="00962E70"/>
    <w:rsid w:val="0096375C"/>
    <w:rsid w:val="00964018"/>
    <w:rsid w:val="00965147"/>
    <w:rsid w:val="00965339"/>
    <w:rsid w:val="00965E8F"/>
    <w:rsid w:val="009662E6"/>
    <w:rsid w:val="0097095E"/>
    <w:rsid w:val="00970F16"/>
    <w:rsid w:val="00971357"/>
    <w:rsid w:val="009714DB"/>
    <w:rsid w:val="0097253F"/>
    <w:rsid w:val="009728E2"/>
    <w:rsid w:val="00972CB6"/>
    <w:rsid w:val="00973F91"/>
    <w:rsid w:val="00974DF2"/>
    <w:rsid w:val="0097568A"/>
    <w:rsid w:val="00975F24"/>
    <w:rsid w:val="00976D18"/>
    <w:rsid w:val="009772C4"/>
    <w:rsid w:val="00980282"/>
    <w:rsid w:val="00980870"/>
    <w:rsid w:val="009819C8"/>
    <w:rsid w:val="00982676"/>
    <w:rsid w:val="00983A00"/>
    <w:rsid w:val="0098404F"/>
    <w:rsid w:val="0098480F"/>
    <w:rsid w:val="009850B3"/>
    <w:rsid w:val="0098592B"/>
    <w:rsid w:val="00985FC4"/>
    <w:rsid w:val="00986126"/>
    <w:rsid w:val="00986298"/>
    <w:rsid w:val="00987370"/>
    <w:rsid w:val="00987742"/>
    <w:rsid w:val="009879EE"/>
    <w:rsid w:val="00987BB1"/>
    <w:rsid w:val="00990766"/>
    <w:rsid w:val="00990CF5"/>
    <w:rsid w:val="00991198"/>
    <w:rsid w:val="00991261"/>
    <w:rsid w:val="00992282"/>
    <w:rsid w:val="009935D3"/>
    <w:rsid w:val="009937FE"/>
    <w:rsid w:val="00993DA1"/>
    <w:rsid w:val="00994DCB"/>
    <w:rsid w:val="0099508E"/>
    <w:rsid w:val="009964C4"/>
    <w:rsid w:val="00996DFF"/>
    <w:rsid w:val="00997D4F"/>
    <w:rsid w:val="009A06A7"/>
    <w:rsid w:val="009A14C2"/>
    <w:rsid w:val="009A4790"/>
    <w:rsid w:val="009A5026"/>
    <w:rsid w:val="009A53BA"/>
    <w:rsid w:val="009A5F9B"/>
    <w:rsid w:val="009A7B81"/>
    <w:rsid w:val="009B08B5"/>
    <w:rsid w:val="009B10BD"/>
    <w:rsid w:val="009B201C"/>
    <w:rsid w:val="009B23FF"/>
    <w:rsid w:val="009B333D"/>
    <w:rsid w:val="009B4986"/>
    <w:rsid w:val="009B6A8C"/>
    <w:rsid w:val="009B7859"/>
    <w:rsid w:val="009B78F3"/>
    <w:rsid w:val="009C0203"/>
    <w:rsid w:val="009C0AB5"/>
    <w:rsid w:val="009C10D5"/>
    <w:rsid w:val="009C155E"/>
    <w:rsid w:val="009C1FDC"/>
    <w:rsid w:val="009C228E"/>
    <w:rsid w:val="009C237B"/>
    <w:rsid w:val="009C25D5"/>
    <w:rsid w:val="009C26FC"/>
    <w:rsid w:val="009C28BB"/>
    <w:rsid w:val="009C2E5B"/>
    <w:rsid w:val="009C393E"/>
    <w:rsid w:val="009C42BA"/>
    <w:rsid w:val="009C4BE1"/>
    <w:rsid w:val="009C5578"/>
    <w:rsid w:val="009C584E"/>
    <w:rsid w:val="009C5CCD"/>
    <w:rsid w:val="009C5F29"/>
    <w:rsid w:val="009C7C0A"/>
    <w:rsid w:val="009C7EE4"/>
    <w:rsid w:val="009D01C0"/>
    <w:rsid w:val="009D1A13"/>
    <w:rsid w:val="009D266E"/>
    <w:rsid w:val="009D43BC"/>
    <w:rsid w:val="009D47BC"/>
    <w:rsid w:val="009D4CF5"/>
    <w:rsid w:val="009D5933"/>
    <w:rsid w:val="009D6A08"/>
    <w:rsid w:val="009D7891"/>
    <w:rsid w:val="009E02B0"/>
    <w:rsid w:val="009E0A16"/>
    <w:rsid w:val="009E0EAD"/>
    <w:rsid w:val="009E29FD"/>
    <w:rsid w:val="009E2A46"/>
    <w:rsid w:val="009E2A75"/>
    <w:rsid w:val="009E302C"/>
    <w:rsid w:val="009E4016"/>
    <w:rsid w:val="009E4B7F"/>
    <w:rsid w:val="009E5900"/>
    <w:rsid w:val="009E6268"/>
    <w:rsid w:val="009E6CB7"/>
    <w:rsid w:val="009E7970"/>
    <w:rsid w:val="009E7C1D"/>
    <w:rsid w:val="009F2EAC"/>
    <w:rsid w:val="009F328D"/>
    <w:rsid w:val="009F46DB"/>
    <w:rsid w:val="009F4F1E"/>
    <w:rsid w:val="009F4F59"/>
    <w:rsid w:val="009F53B9"/>
    <w:rsid w:val="009F57E3"/>
    <w:rsid w:val="009F7199"/>
    <w:rsid w:val="009F7F92"/>
    <w:rsid w:val="00A0029B"/>
    <w:rsid w:val="00A00D5A"/>
    <w:rsid w:val="00A01CD1"/>
    <w:rsid w:val="00A02329"/>
    <w:rsid w:val="00A031F3"/>
    <w:rsid w:val="00A04DB3"/>
    <w:rsid w:val="00A062C5"/>
    <w:rsid w:val="00A06A31"/>
    <w:rsid w:val="00A070DF"/>
    <w:rsid w:val="00A07172"/>
    <w:rsid w:val="00A07BF6"/>
    <w:rsid w:val="00A10F4F"/>
    <w:rsid w:val="00A11067"/>
    <w:rsid w:val="00A112F8"/>
    <w:rsid w:val="00A116E0"/>
    <w:rsid w:val="00A1182E"/>
    <w:rsid w:val="00A120C9"/>
    <w:rsid w:val="00A1244D"/>
    <w:rsid w:val="00A13919"/>
    <w:rsid w:val="00A1431F"/>
    <w:rsid w:val="00A144B5"/>
    <w:rsid w:val="00A1574B"/>
    <w:rsid w:val="00A1591F"/>
    <w:rsid w:val="00A169CE"/>
    <w:rsid w:val="00A1704A"/>
    <w:rsid w:val="00A1724D"/>
    <w:rsid w:val="00A17D9F"/>
    <w:rsid w:val="00A20684"/>
    <w:rsid w:val="00A209A7"/>
    <w:rsid w:val="00A20EC1"/>
    <w:rsid w:val="00A2157A"/>
    <w:rsid w:val="00A22B52"/>
    <w:rsid w:val="00A232E3"/>
    <w:rsid w:val="00A234B4"/>
    <w:rsid w:val="00A243B5"/>
    <w:rsid w:val="00A245C2"/>
    <w:rsid w:val="00A24608"/>
    <w:rsid w:val="00A25147"/>
    <w:rsid w:val="00A259B6"/>
    <w:rsid w:val="00A25DA2"/>
    <w:rsid w:val="00A26980"/>
    <w:rsid w:val="00A26B2C"/>
    <w:rsid w:val="00A27C21"/>
    <w:rsid w:val="00A27F84"/>
    <w:rsid w:val="00A3025E"/>
    <w:rsid w:val="00A30293"/>
    <w:rsid w:val="00A303C9"/>
    <w:rsid w:val="00A309CC"/>
    <w:rsid w:val="00A31CB1"/>
    <w:rsid w:val="00A345CA"/>
    <w:rsid w:val="00A35205"/>
    <w:rsid w:val="00A35887"/>
    <w:rsid w:val="00A35C0F"/>
    <w:rsid w:val="00A3696A"/>
    <w:rsid w:val="00A419A3"/>
    <w:rsid w:val="00A42116"/>
    <w:rsid w:val="00A425EB"/>
    <w:rsid w:val="00A426DD"/>
    <w:rsid w:val="00A42733"/>
    <w:rsid w:val="00A436C6"/>
    <w:rsid w:val="00A44100"/>
    <w:rsid w:val="00A47374"/>
    <w:rsid w:val="00A5044F"/>
    <w:rsid w:val="00A506DA"/>
    <w:rsid w:val="00A514CA"/>
    <w:rsid w:val="00A552BD"/>
    <w:rsid w:val="00A55FE1"/>
    <w:rsid w:val="00A56DA2"/>
    <w:rsid w:val="00A573E2"/>
    <w:rsid w:val="00A6047A"/>
    <w:rsid w:val="00A606BC"/>
    <w:rsid w:val="00A614A5"/>
    <w:rsid w:val="00A61B39"/>
    <w:rsid w:val="00A61ECE"/>
    <w:rsid w:val="00A65503"/>
    <w:rsid w:val="00A660D0"/>
    <w:rsid w:val="00A66C50"/>
    <w:rsid w:val="00A70C10"/>
    <w:rsid w:val="00A70E6B"/>
    <w:rsid w:val="00A71512"/>
    <w:rsid w:val="00A71909"/>
    <w:rsid w:val="00A72EA3"/>
    <w:rsid w:val="00A72F22"/>
    <w:rsid w:val="00A733BC"/>
    <w:rsid w:val="00A734E7"/>
    <w:rsid w:val="00A735BD"/>
    <w:rsid w:val="00A73841"/>
    <w:rsid w:val="00A73E56"/>
    <w:rsid w:val="00A748A6"/>
    <w:rsid w:val="00A763DE"/>
    <w:rsid w:val="00A7640E"/>
    <w:rsid w:val="00A76A69"/>
    <w:rsid w:val="00A77216"/>
    <w:rsid w:val="00A77238"/>
    <w:rsid w:val="00A77914"/>
    <w:rsid w:val="00A80825"/>
    <w:rsid w:val="00A8276E"/>
    <w:rsid w:val="00A830D2"/>
    <w:rsid w:val="00A8433D"/>
    <w:rsid w:val="00A8447E"/>
    <w:rsid w:val="00A8472D"/>
    <w:rsid w:val="00A84EA8"/>
    <w:rsid w:val="00A8521A"/>
    <w:rsid w:val="00A857CD"/>
    <w:rsid w:val="00A86686"/>
    <w:rsid w:val="00A86713"/>
    <w:rsid w:val="00A873DF"/>
    <w:rsid w:val="00A875C9"/>
    <w:rsid w:val="00A879A4"/>
    <w:rsid w:val="00A913C1"/>
    <w:rsid w:val="00A91484"/>
    <w:rsid w:val="00A9197D"/>
    <w:rsid w:val="00A930AA"/>
    <w:rsid w:val="00A93A88"/>
    <w:rsid w:val="00A93DC8"/>
    <w:rsid w:val="00A94276"/>
    <w:rsid w:val="00A95600"/>
    <w:rsid w:val="00A95699"/>
    <w:rsid w:val="00A96EE4"/>
    <w:rsid w:val="00AA0794"/>
    <w:rsid w:val="00AA0FF8"/>
    <w:rsid w:val="00AA1B50"/>
    <w:rsid w:val="00AA1E86"/>
    <w:rsid w:val="00AA1F26"/>
    <w:rsid w:val="00AA411D"/>
    <w:rsid w:val="00AA4727"/>
    <w:rsid w:val="00AA4914"/>
    <w:rsid w:val="00AA5047"/>
    <w:rsid w:val="00AA50AD"/>
    <w:rsid w:val="00AA56BF"/>
    <w:rsid w:val="00AA7277"/>
    <w:rsid w:val="00AB18D0"/>
    <w:rsid w:val="00AB1B2E"/>
    <w:rsid w:val="00AB245D"/>
    <w:rsid w:val="00AB2973"/>
    <w:rsid w:val="00AB3660"/>
    <w:rsid w:val="00AB4814"/>
    <w:rsid w:val="00AB4849"/>
    <w:rsid w:val="00AB5270"/>
    <w:rsid w:val="00AB5A2F"/>
    <w:rsid w:val="00AB5DCD"/>
    <w:rsid w:val="00AB68DF"/>
    <w:rsid w:val="00AB7811"/>
    <w:rsid w:val="00AB7DFC"/>
    <w:rsid w:val="00AB7F84"/>
    <w:rsid w:val="00AC04B7"/>
    <w:rsid w:val="00AC0F2C"/>
    <w:rsid w:val="00AC1C0E"/>
    <w:rsid w:val="00AC4105"/>
    <w:rsid w:val="00AC4122"/>
    <w:rsid w:val="00AC4E3B"/>
    <w:rsid w:val="00AC4E41"/>
    <w:rsid w:val="00AC502A"/>
    <w:rsid w:val="00AC6037"/>
    <w:rsid w:val="00AC68E4"/>
    <w:rsid w:val="00AC692D"/>
    <w:rsid w:val="00AC7521"/>
    <w:rsid w:val="00AD0B69"/>
    <w:rsid w:val="00AD1000"/>
    <w:rsid w:val="00AD1277"/>
    <w:rsid w:val="00AD19D8"/>
    <w:rsid w:val="00AD295A"/>
    <w:rsid w:val="00AD47B0"/>
    <w:rsid w:val="00AD5909"/>
    <w:rsid w:val="00AD6CA1"/>
    <w:rsid w:val="00AD6F03"/>
    <w:rsid w:val="00AD6F5D"/>
    <w:rsid w:val="00AE2806"/>
    <w:rsid w:val="00AE4311"/>
    <w:rsid w:val="00AE4566"/>
    <w:rsid w:val="00AE457D"/>
    <w:rsid w:val="00AE484E"/>
    <w:rsid w:val="00AE4C79"/>
    <w:rsid w:val="00AE557B"/>
    <w:rsid w:val="00AE5850"/>
    <w:rsid w:val="00AE615F"/>
    <w:rsid w:val="00AE661D"/>
    <w:rsid w:val="00AE7265"/>
    <w:rsid w:val="00AE7D74"/>
    <w:rsid w:val="00AF0456"/>
    <w:rsid w:val="00AF0D3E"/>
    <w:rsid w:val="00AF131A"/>
    <w:rsid w:val="00AF1973"/>
    <w:rsid w:val="00AF1A1D"/>
    <w:rsid w:val="00AF1C47"/>
    <w:rsid w:val="00AF1E96"/>
    <w:rsid w:val="00AF1FCD"/>
    <w:rsid w:val="00AF353A"/>
    <w:rsid w:val="00AF44B4"/>
    <w:rsid w:val="00AF58C1"/>
    <w:rsid w:val="00AF5BA2"/>
    <w:rsid w:val="00AF64F2"/>
    <w:rsid w:val="00AF6907"/>
    <w:rsid w:val="00AF69F2"/>
    <w:rsid w:val="00AF7409"/>
    <w:rsid w:val="00B01B03"/>
    <w:rsid w:val="00B01D77"/>
    <w:rsid w:val="00B02197"/>
    <w:rsid w:val="00B032CE"/>
    <w:rsid w:val="00B036D4"/>
    <w:rsid w:val="00B04911"/>
    <w:rsid w:val="00B04A3F"/>
    <w:rsid w:val="00B05169"/>
    <w:rsid w:val="00B06643"/>
    <w:rsid w:val="00B10D96"/>
    <w:rsid w:val="00B111FF"/>
    <w:rsid w:val="00B119D5"/>
    <w:rsid w:val="00B11BD9"/>
    <w:rsid w:val="00B12491"/>
    <w:rsid w:val="00B126A6"/>
    <w:rsid w:val="00B131C2"/>
    <w:rsid w:val="00B13992"/>
    <w:rsid w:val="00B141B7"/>
    <w:rsid w:val="00B15055"/>
    <w:rsid w:val="00B157A7"/>
    <w:rsid w:val="00B1599C"/>
    <w:rsid w:val="00B15B6E"/>
    <w:rsid w:val="00B15D72"/>
    <w:rsid w:val="00B16113"/>
    <w:rsid w:val="00B16472"/>
    <w:rsid w:val="00B1659D"/>
    <w:rsid w:val="00B166F2"/>
    <w:rsid w:val="00B16BE4"/>
    <w:rsid w:val="00B17C24"/>
    <w:rsid w:val="00B20FD4"/>
    <w:rsid w:val="00B21682"/>
    <w:rsid w:val="00B230B1"/>
    <w:rsid w:val="00B25428"/>
    <w:rsid w:val="00B25AE5"/>
    <w:rsid w:val="00B2744E"/>
    <w:rsid w:val="00B27FF5"/>
    <w:rsid w:val="00B30179"/>
    <w:rsid w:val="00B3058B"/>
    <w:rsid w:val="00B318F9"/>
    <w:rsid w:val="00B31C93"/>
    <w:rsid w:val="00B3294D"/>
    <w:rsid w:val="00B337CF"/>
    <w:rsid w:val="00B3409D"/>
    <w:rsid w:val="00B34789"/>
    <w:rsid w:val="00B34AFF"/>
    <w:rsid w:val="00B3636E"/>
    <w:rsid w:val="00B37B15"/>
    <w:rsid w:val="00B40AC8"/>
    <w:rsid w:val="00B4439F"/>
    <w:rsid w:val="00B45592"/>
    <w:rsid w:val="00B45C02"/>
    <w:rsid w:val="00B46F69"/>
    <w:rsid w:val="00B4731D"/>
    <w:rsid w:val="00B50B05"/>
    <w:rsid w:val="00B50E09"/>
    <w:rsid w:val="00B50F57"/>
    <w:rsid w:val="00B524B5"/>
    <w:rsid w:val="00B529BA"/>
    <w:rsid w:val="00B52F5F"/>
    <w:rsid w:val="00B53257"/>
    <w:rsid w:val="00B5390C"/>
    <w:rsid w:val="00B54C1B"/>
    <w:rsid w:val="00B55C22"/>
    <w:rsid w:val="00B56D36"/>
    <w:rsid w:val="00B60E62"/>
    <w:rsid w:val="00B63839"/>
    <w:rsid w:val="00B63F7E"/>
    <w:rsid w:val="00B649B0"/>
    <w:rsid w:val="00B7110F"/>
    <w:rsid w:val="00B72168"/>
    <w:rsid w:val="00B722E6"/>
    <w:rsid w:val="00B725E0"/>
    <w:rsid w:val="00B72A1E"/>
    <w:rsid w:val="00B73ED1"/>
    <w:rsid w:val="00B7551F"/>
    <w:rsid w:val="00B755A8"/>
    <w:rsid w:val="00B75733"/>
    <w:rsid w:val="00B760B2"/>
    <w:rsid w:val="00B769FA"/>
    <w:rsid w:val="00B77BB5"/>
    <w:rsid w:val="00B8043B"/>
    <w:rsid w:val="00B8080B"/>
    <w:rsid w:val="00B80A81"/>
    <w:rsid w:val="00B80E30"/>
    <w:rsid w:val="00B8103B"/>
    <w:rsid w:val="00B81537"/>
    <w:rsid w:val="00B81915"/>
    <w:rsid w:val="00B81A88"/>
    <w:rsid w:val="00B81DD8"/>
    <w:rsid w:val="00B81E12"/>
    <w:rsid w:val="00B8207C"/>
    <w:rsid w:val="00B837D1"/>
    <w:rsid w:val="00B8396F"/>
    <w:rsid w:val="00B83A3C"/>
    <w:rsid w:val="00B84118"/>
    <w:rsid w:val="00B84750"/>
    <w:rsid w:val="00B850B1"/>
    <w:rsid w:val="00B85CAD"/>
    <w:rsid w:val="00B863BD"/>
    <w:rsid w:val="00B86449"/>
    <w:rsid w:val="00B87E88"/>
    <w:rsid w:val="00B90509"/>
    <w:rsid w:val="00B923C5"/>
    <w:rsid w:val="00B92718"/>
    <w:rsid w:val="00B93CF5"/>
    <w:rsid w:val="00B940C1"/>
    <w:rsid w:val="00B9565F"/>
    <w:rsid w:val="00B95AD2"/>
    <w:rsid w:val="00B961E3"/>
    <w:rsid w:val="00B9638D"/>
    <w:rsid w:val="00B96707"/>
    <w:rsid w:val="00B96BA8"/>
    <w:rsid w:val="00B975B1"/>
    <w:rsid w:val="00B97AC4"/>
    <w:rsid w:val="00B97B2E"/>
    <w:rsid w:val="00B97C62"/>
    <w:rsid w:val="00BA16F2"/>
    <w:rsid w:val="00BA2663"/>
    <w:rsid w:val="00BA2AFD"/>
    <w:rsid w:val="00BA339B"/>
    <w:rsid w:val="00BA351A"/>
    <w:rsid w:val="00BA35D9"/>
    <w:rsid w:val="00BA42B0"/>
    <w:rsid w:val="00BA44EB"/>
    <w:rsid w:val="00BA49B1"/>
    <w:rsid w:val="00BA5F89"/>
    <w:rsid w:val="00BA6443"/>
    <w:rsid w:val="00BA6C73"/>
    <w:rsid w:val="00BA6F69"/>
    <w:rsid w:val="00BA701A"/>
    <w:rsid w:val="00BB0410"/>
    <w:rsid w:val="00BB0878"/>
    <w:rsid w:val="00BB0B18"/>
    <w:rsid w:val="00BB1EBD"/>
    <w:rsid w:val="00BB2F69"/>
    <w:rsid w:val="00BB3EC7"/>
    <w:rsid w:val="00BB4BAA"/>
    <w:rsid w:val="00BB57B1"/>
    <w:rsid w:val="00BB58ED"/>
    <w:rsid w:val="00BB5EA3"/>
    <w:rsid w:val="00BB646F"/>
    <w:rsid w:val="00BB64A8"/>
    <w:rsid w:val="00BC1AEF"/>
    <w:rsid w:val="00BC1E7E"/>
    <w:rsid w:val="00BC29EA"/>
    <w:rsid w:val="00BC3BBA"/>
    <w:rsid w:val="00BC452C"/>
    <w:rsid w:val="00BC56BE"/>
    <w:rsid w:val="00BC5823"/>
    <w:rsid w:val="00BC658D"/>
    <w:rsid w:val="00BC7327"/>
    <w:rsid w:val="00BC74E9"/>
    <w:rsid w:val="00BC7D8B"/>
    <w:rsid w:val="00BD0DD2"/>
    <w:rsid w:val="00BD1777"/>
    <w:rsid w:val="00BD2C50"/>
    <w:rsid w:val="00BD2E59"/>
    <w:rsid w:val="00BD4614"/>
    <w:rsid w:val="00BD51D4"/>
    <w:rsid w:val="00BD5C1C"/>
    <w:rsid w:val="00BD5DA7"/>
    <w:rsid w:val="00BD5DEC"/>
    <w:rsid w:val="00BD6660"/>
    <w:rsid w:val="00BD728C"/>
    <w:rsid w:val="00BD786F"/>
    <w:rsid w:val="00BE19DF"/>
    <w:rsid w:val="00BE363E"/>
    <w:rsid w:val="00BE36A9"/>
    <w:rsid w:val="00BE509C"/>
    <w:rsid w:val="00BE5606"/>
    <w:rsid w:val="00BE618E"/>
    <w:rsid w:val="00BE668D"/>
    <w:rsid w:val="00BE6881"/>
    <w:rsid w:val="00BE7BEC"/>
    <w:rsid w:val="00BF00CF"/>
    <w:rsid w:val="00BF08CC"/>
    <w:rsid w:val="00BF0A5A"/>
    <w:rsid w:val="00BF0E63"/>
    <w:rsid w:val="00BF11E3"/>
    <w:rsid w:val="00BF12A3"/>
    <w:rsid w:val="00BF16D7"/>
    <w:rsid w:val="00BF221A"/>
    <w:rsid w:val="00BF2236"/>
    <w:rsid w:val="00BF2373"/>
    <w:rsid w:val="00BF2628"/>
    <w:rsid w:val="00BF2F83"/>
    <w:rsid w:val="00BF3064"/>
    <w:rsid w:val="00BF3141"/>
    <w:rsid w:val="00BF3791"/>
    <w:rsid w:val="00BF4157"/>
    <w:rsid w:val="00BF5343"/>
    <w:rsid w:val="00BF5761"/>
    <w:rsid w:val="00BF5C3B"/>
    <w:rsid w:val="00BF7F0E"/>
    <w:rsid w:val="00C00EAF"/>
    <w:rsid w:val="00C0385B"/>
    <w:rsid w:val="00C0445B"/>
    <w:rsid w:val="00C044E2"/>
    <w:rsid w:val="00C048CB"/>
    <w:rsid w:val="00C04FF9"/>
    <w:rsid w:val="00C051A9"/>
    <w:rsid w:val="00C0619B"/>
    <w:rsid w:val="00C066F3"/>
    <w:rsid w:val="00C06B32"/>
    <w:rsid w:val="00C070BC"/>
    <w:rsid w:val="00C07248"/>
    <w:rsid w:val="00C0762E"/>
    <w:rsid w:val="00C118BB"/>
    <w:rsid w:val="00C11E80"/>
    <w:rsid w:val="00C124AC"/>
    <w:rsid w:val="00C1401F"/>
    <w:rsid w:val="00C15225"/>
    <w:rsid w:val="00C17732"/>
    <w:rsid w:val="00C17C1E"/>
    <w:rsid w:val="00C202CB"/>
    <w:rsid w:val="00C22B6E"/>
    <w:rsid w:val="00C2340D"/>
    <w:rsid w:val="00C2351A"/>
    <w:rsid w:val="00C24650"/>
    <w:rsid w:val="00C24DA6"/>
    <w:rsid w:val="00C26781"/>
    <w:rsid w:val="00C27635"/>
    <w:rsid w:val="00C30AE0"/>
    <w:rsid w:val="00C326D1"/>
    <w:rsid w:val="00C336C2"/>
    <w:rsid w:val="00C34438"/>
    <w:rsid w:val="00C34E1A"/>
    <w:rsid w:val="00C364C0"/>
    <w:rsid w:val="00C407E7"/>
    <w:rsid w:val="00C40C0D"/>
    <w:rsid w:val="00C4105A"/>
    <w:rsid w:val="00C41100"/>
    <w:rsid w:val="00C42A74"/>
    <w:rsid w:val="00C42BBF"/>
    <w:rsid w:val="00C42DD1"/>
    <w:rsid w:val="00C436DD"/>
    <w:rsid w:val="00C440A5"/>
    <w:rsid w:val="00C4422D"/>
    <w:rsid w:val="00C44341"/>
    <w:rsid w:val="00C44713"/>
    <w:rsid w:val="00C44E59"/>
    <w:rsid w:val="00C46006"/>
    <w:rsid w:val="00C460B3"/>
    <w:rsid w:val="00C46399"/>
    <w:rsid w:val="00C463DD"/>
    <w:rsid w:val="00C47623"/>
    <w:rsid w:val="00C47AE0"/>
    <w:rsid w:val="00C51623"/>
    <w:rsid w:val="00C51BEB"/>
    <w:rsid w:val="00C53266"/>
    <w:rsid w:val="00C536D7"/>
    <w:rsid w:val="00C53D83"/>
    <w:rsid w:val="00C541D0"/>
    <w:rsid w:val="00C552B5"/>
    <w:rsid w:val="00C556CB"/>
    <w:rsid w:val="00C557B1"/>
    <w:rsid w:val="00C57184"/>
    <w:rsid w:val="00C5741B"/>
    <w:rsid w:val="00C576B9"/>
    <w:rsid w:val="00C577C6"/>
    <w:rsid w:val="00C57AA6"/>
    <w:rsid w:val="00C6280D"/>
    <w:rsid w:val="00C6376E"/>
    <w:rsid w:val="00C63EB4"/>
    <w:rsid w:val="00C63FEA"/>
    <w:rsid w:val="00C65421"/>
    <w:rsid w:val="00C65A0B"/>
    <w:rsid w:val="00C66820"/>
    <w:rsid w:val="00C6701E"/>
    <w:rsid w:val="00C67728"/>
    <w:rsid w:val="00C7035A"/>
    <w:rsid w:val="00C70AF1"/>
    <w:rsid w:val="00C7115A"/>
    <w:rsid w:val="00C71C8B"/>
    <w:rsid w:val="00C72EBC"/>
    <w:rsid w:val="00C745C3"/>
    <w:rsid w:val="00C763DD"/>
    <w:rsid w:val="00C77C93"/>
    <w:rsid w:val="00C81664"/>
    <w:rsid w:val="00C81767"/>
    <w:rsid w:val="00C8181D"/>
    <w:rsid w:val="00C8192C"/>
    <w:rsid w:val="00C82862"/>
    <w:rsid w:val="00C82C81"/>
    <w:rsid w:val="00C8344B"/>
    <w:rsid w:val="00C83EF4"/>
    <w:rsid w:val="00C84321"/>
    <w:rsid w:val="00C84BED"/>
    <w:rsid w:val="00C84D75"/>
    <w:rsid w:val="00C84D79"/>
    <w:rsid w:val="00C863C1"/>
    <w:rsid w:val="00C86449"/>
    <w:rsid w:val="00C87A84"/>
    <w:rsid w:val="00C90CF7"/>
    <w:rsid w:val="00C90CFC"/>
    <w:rsid w:val="00C90D40"/>
    <w:rsid w:val="00C91C8F"/>
    <w:rsid w:val="00C921F5"/>
    <w:rsid w:val="00C927BE"/>
    <w:rsid w:val="00C929C6"/>
    <w:rsid w:val="00C929D1"/>
    <w:rsid w:val="00C930C7"/>
    <w:rsid w:val="00C93611"/>
    <w:rsid w:val="00C93EF5"/>
    <w:rsid w:val="00C941AC"/>
    <w:rsid w:val="00C94E27"/>
    <w:rsid w:val="00C95CD1"/>
    <w:rsid w:val="00C96395"/>
    <w:rsid w:val="00C96B1A"/>
    <w:rsid w:val="00CA0ADA"/>
    <w:rsid w:val="00CA0B2B"/>
    <w:rsid w:val="00CA24A4"/>
    <w:rsid w:val="00CA2D74"/>
    <w:rsid w:val="00CA477F"/>
    <w:rsid w:val="00CA56D1"/>
    <w:rsid w:val="00CA5937"/>
    <w:rsid w:val="00CA60BA"/>
    <w:rsid w:val="00CA64C5"/>
    <w:rsid w:val="00CA653F"/>
    <w:rsid w:val="00CB03F1"/>
    <w:rsid w:val="00CB147B"/>
    <w:rsid w:val="00CB23DD"/>
    <w:rsid w:val="00CB348D"/>
    <w:rsid w:val="00CB4603"/>
    <w:rsid w:val="00CB5DA6"/>
    <w:rsid w:val="00CB5EB6"/>
    <w:rsid w:val="00CB5F4A"/>
    <w:rsid w:val="00CB62CF"/>
    <w:rsid w:val="00CC1DE8"/>
    <w:rsid w:val="00CC3703"/>
    <w:rsid w:val="00CC3B46"/>
    <w:rsid w:val="00CC43AB"/>
    <w:rsid w:val="00CC5303"/>
    <w:rsid w:val="00CC53A6"/>
    <w:rsid w:val="00CC5A76"/>
    <w:rsid w:val="00CC5AB7"/>
    <w:rsid w:val="00CC6061"/>
    <w:rsid w:val="00CC641A"/>
    <w:rsid w:val="00CC6695"/>
    <w:rsid w:val="00CD0C82"/>
    <w:rsid w:val="00CD0CFA"/>
    <w:rsid w:val="00CD1522"/>
    <w:rsid w:val="00CD16F7"/>
    <w:rsid w:val="00CD1DF5"/>
    <w:rsid w:val="00CD227C"/>
    <w:rsid w:val="00CD316E"/>
    <w:rsid w:val="00CD3AD8"/>
    <w:rsid w:val="00CD3E37"/>
    <w:rsid w:val="00CD3F48"/>
    <w:rsid w:val="00CD46F5"/>
    <w:rsid w:val="00CD493B"/>
    <w:rsid w:val="00CD51A4"/>
    <w:rsid w:val="00CD52A3"/>
    <w:rsid w:val="00CD5919"/>
    <w:rsid w:val="00CD647F"/>
    <w:rsid w:val="00CD6D83"/>
    <w:rsid w:val="00CD7E94"/>
    <w:rsid w:val="00CE046B"/>
    <w:rsid w:val="00CE1748"/>
    <w:rsid w:val="00CE19DA"/>
    <w:rsid w:val="00CE2850"/>
    <w:rsid w:val="00CE32ED"/>
    <w:rsid w:val="00CE3CA0"/>
    <w:rsid w:val="00CE4A8F"/>
    <w:rsid w:val="00CE4DEA"/>
    <w:rsid w:val="00CE51E2"/>
    <w:rsid w:val="00CE697C"/>
    <w:rsid w:val="00CE7FC2"/>
    <w:rsid w:val="00CF071D"/>
    <w:rsid w:val="00CF0F86"/>
    <w:rsid w:val="00CF3431"/>
    <w:rsid w:val="00CF39D3"/>
    <w:rsid w:val="00CF4610"/>
    <w:rsid w:val="00CF4664"/>
    <w:rsid w:val="00CF542F"/>
    <w:rsid w:val="00CF7446"/>
    <w:rsid w:val="00CF7D6C"/>
    <w:rsid w:val="00CF7DA5"/>
    <w:rsid w:val="00D00C8C"/>
    <w:rsid w:val="00D010C9"/>
    <w:rsid w:val="00D01622"/>
    <w:rsid w:val="00D02115"/>
    <w:rsid w:val="00D03AB9"/>
    <w:rsid w:val="00D048DA"/>
    <w:rsid w:val="00D04AFC"/>
    <w:rsid w:val="00D0681E"/>
    <w:rsid w:val="00D06DED"/>
    <w:rsid w:val="00D07422"/>
    <w:rsid w:val="00D10334"/>
    <w:rsid w:val="00D10F1F"/>
    <w:rsid w:val="00D126DB"/>
    <w:rsid w:val="00D13359"/>
    <w:rsid w:val="00D1415B"/>
    <w:rsid w:val="00D15101"/>
    <w:rsid w:val="00D154FA"/>
    <w:rsid w:val="00D15B04"/>
    <w:rsid w:val="00D16117"/>
    <w:rsid w:val="00D163A7"/>
    <w:rsid w:val="00D177F4"/>
    <w:rsid w:val="00D2031B"/>
    <w:rsid w:val="00D20752"/>
    <w:rsid w:val="00D20808"/>
    <w:rsid w:val="00D220D1"/>
    <w:rsid w:val="00D22234"/>
    <w:rsid w:val="00D22426"/>
    <w:rsid w:val="00D228BA"/>
    <w:rsid w:val="00D23BFC"/>
    <w:rsid w:val="00D23D2C"/>
    <w:rsid w:val="00D2430C"/>
    <w:rsid w:val="00D25560"/>
    <w:rsid w:val="00D25FE2"/>
    <w:rsid w:val="00D26210"/>
    <w:rsid w:val="00D26B97"/>
    <w:rsid w:val="00D27186"/>
    <w:rsid w:val="00D27655"/>
    <w:rsid w:val="00D27DF2"/>
    <w:rsid w:val="00D31736"/>
    <w:rsid w:val="00D31EF1"/>
    <w:rsid w:val="00D33831"/>
    <w:rsid w:val="00D33A3D"/>
    <w:rsid w:val="00D35288"/>
    <w:rsid w:val="00D355E5"/>
    <w:rsid w:val="00D359A9"/>
    <w:rsid w:val="00D378B2"/>
    <w:rsid w:val="00D37DA9"/>
    <w:rsid w:val="00D406A7"/>
    <w:rsid w:val="00D407DB"/>
    <w:rsid w:val="00D40FE6"/>
    <w:rsid w:val="00D41946"/>
    <w:rsid w:val="00D42CB6"/>
    <w:rsid w:val="00D43252"/>
    <w:rsid w:val="00D44D86"/>
    <w:rsid w:val="00D465F9"/>
    <w:rsid w:val="00D473BF"/>
    <w:rsid w:val="00D474DD"/>
    <w:rsid w:val="00D47993"/>
    <w:rsid w:val="00D47EE2"/>
    <w:rsid w:val="00D5021E"/>
    <w:rsid w:val="00D50B7D"/>
    <w:rsid w:val="00D516FE"/>
    <w:rsid w:val="00D51F89"/>
    <w:rsid w:val="00D52012"/>
    <w:rsid w:val="00D549BB"/>
    <w:rsid w:val="00D54A5D"/>
    <w:rsid w:val="00D55165"/>
    <w:rsid w:val="00D551E8"/>
    <w:rsid w:val="00D5702E"/>
    <w:rsid w:val="00D57A90"/>
    <w:rsid w:val="00D604EC"/>
    <w:rsid w:val="00D60A37"/>
    <w:rsid w:val="00D60CCC"/>
    <w:rsid w:val="00D60D6D"/>
    <w:rsid w:val="00D61462"/>
    <w:rsid w:val="00D615C0"/>
    <w:rsid w:val="00D61BAC"/>
    <w:rsid w:val="00D61C42"/>
    <w:rsid w:val="00D620EE"/>
    <w:rsid w:val="00D62E39"/>
    <w:rsid w:val="00D63412"/>
    <w:rsid w:val="00D6426D"/>
    <w:rsid w:val="00D64460"/>
    <w:rsid w:val="00D64E0D"/>
    <w:rsid w:val="00D64EAC"/>
    <w:rsid w:val="00D6571E"/>
    <w:rsid w:val="00D6577D"/>
    <w:rsid w:val="00D65B4C"/>
    <w:rsid w:val="00D66087"/>
    <w:rsid w:val="00D66492"/>
    <w:rsid w:val="00D67F31"/>
    <w:rsid w:val="00D704E5"/>
    <w:rsid w:val="00D707A1"/>
    <w:rsid w:val="00D71312"/>
    <w:rsid w:val="00D72727"/>
    <w:rsid w:val="00D72D75"/>
    <w:rsid w:val="00D737D7"/>
    <w:rsid w:val="00D73A19"/>
    <w:rsid w:val="00D75043"/>
    <w:rsid w:val="00D766A7"/>
    <w:rsid w:val="00D76F1A"/>
    <w:rsid w:val="00D775BB"/>
    <w:rsid w:val="00D80AAE"/>
    <w:rsid w:val="00D81BC0"/>
    <w:rsid w:val="00D81F5D"/>
    <w:rsid w:val="00D8205D"/>
    <w:rsid w:val="00D82BC9"/>
    <w:rsid w:val="00D82D50"/>
    <w:rsid w:val="00D8314F"/>
    <w:rsid w:val="00D83A0D"/>
    <w:rsid w:val="00D85774"/>
    <w:rsid w:val="00D86462"/>
    <w:rsid w:val="00D87C88"/>
    <w:rsid w:val="00D87CAC"/>
    <w:rsid w:val="00D87CBD"/>
    <w:rsid w:val="00D904E3"/>
    <w:rsid w:val="00D9050E"/>
    <w:rsid w:val="00D91135"/>
    <w:rsid w:val="00D929AC"/>
    <w:rsid w:val="00D93EF3"/>
    <w:rsid w:val="00D944D3"/>
    <w:rsid w:val="00D94A0D"/>
    <w:rsid w:val="00D9552C"/>
    <w:rsid w:val="00D95E0D"/>
    <w:rsid w:val="00D95F7D"/>
    <w:rsid w:val="00D96302"/>
    <w:rsid w:val="00D96854"/>
    <w:rsid w:val="00D971FB"/>
    <w:rsid w:val="00D978C6"/>
    <w:rsid w:val="00DA0956"/>
    <w:rsid w:val="00DA0FD2"/>
    <w:rsid w:val="00DA13E8"/>
    <w:rsid w:val="00DA270A"/>
    <w:rsid w:val="00DA2ED2"/>
    <w:rsid w:val="00DA33B8"/>
    <w:rsid w:val="00DA357F"/>
    <w:rsid w:val="00DA3E12"/>
    <w:rsid w:val="00DA694A"/>
    <w:rsid w:val="00DA6C4E"/>
    <w:rsid w:val="00DA6E01"/>
    <w:rsid w:val="00DA6E0B"/>
    <w:rsid w:val="00DB21DC"/>
    <w:rsid w:val="00DB4CB1"/>
    <w:rsid w:val="00DB4E71"/>
    <w:rsid w:val="00DB51E2"/>
    <w:rsid w:val="00DB5CC9"/>
    <w:rsid w:val="00DB6969"/>
    <w:rsid w:val="00DB7B78"/>
    <w:rsid w:val="00DC03DC"/>
    <w:rsid w:val="00DC18AD"/>
    <w:rsid w:val="00DC2168"/>
    <w:rsid w:val="00DC40AA"/>
    <w:rsid w:val="00DC40CE"/>
    <w:rsid w:val="00DC4657"/>
    <w:rsid w:val="00DC64EB"/>
    <w:rsid w:val="00DC6A5C"/>
    <w:rsid w:val="00DC7EDE"/>
    <w:rsid w:val="00DD0EB2"/>
    <w:rsid w:val="00DD18D4"/>
    <w:rsid w:val="00DD25CB"/>
    <w:rsid w:val="00DD4D81"/>
    <w:rsid w:val="00DD6D98"/>
    <w:rsid w:val="00DD7274"/>
    <w:rsid w:val="00DD77BE"/>
    <w:rsid w:val="00DD7CF7"/>
    <w:rsid w:val="00DE098C"/>
    <w:rsid w:val="00DE0AD8"/>
    <w:rsid w:val="00DE1205"/>
    <w:rsid w:val="00DE131E"/>
    <w:rsid w:val="00DE1584"/>
    <w:rsid w:val="00DE1849"/>
    <w:rsid w:val="00DE2297"/>
    <w:rsid w:val="00DE2566"/>
    <w:rsid w:val="00DE3945"/>
    <w:rsid w:val="00DE4CAF"/>
    <w:rsid w:val="00DE4FE7"/>
    <w:rsid w:val="00DE554F"/>
    <w:rsid w:val="00DE6D7E"/>
    <w:rsid w:val="00DE7746"/>
    <w:rsid w:val="00DE7851"/>
    <w:rsid w:val="00DF0470"/>
    <w:rsid w:val="00DF4A0F"/>
    <w:rsid w:val="00DF7876"/>
    <w:rsid w:val="00DF7CAE"/>
    <w:rsid w:val="00E01C8A"/>
    <w:rsid w:val="00E02C4B"/>
    <w:rsid w:val="00E0489C"/>
    <w:rsid w:val="00E05119"/>
    <w:rsid w:val="00E073C8"/>
    <w:rsid w:val="00E106C1"/>
    <w:rsid w:val="00E11595"/>
    <w:rsid w:val="00E12439"/>
    <w:rsid w:val="00E12DB9"/>
    <w:rsid w:val="00E1312F"/>
    <w:rsid w:val="00E13388"/>
    <w:rsid w:val="00E139D4"/>
    <w:rsid w:val="00E1429E"/>
    <w:rsid w:val="00E14A15"/>
    <w:rsid w:val="00E1506F"/>
    <w:rsid w:val="00E16805"/>
    <w:rsid w:val="00E16842"/>
    <w:rsid w:val="00E16FAF"/>
    <w:rsid w:val="00E172E4"/>
    <w:rsid w:val="00E174AF"/>
    <w:rsid w:val="00E20745"/>
    <w:rsid w:val="00E217BA"/>
    <w:rsid w:val="00E23EDC"/>
    <w:rsid w:val="00E24361"/>
    <w:rsid w:val="00E2465B"/>
    <w:rsid w:val="00E246CE"/>
    <w:rsid w:val="00E251A0"/>
    <w:rsid w:val="00E27457"/>
    <w:rsid w:val="00E27927"/>
    <w:rsid w:val="00E27B58"/>
    <w:rsid w:val="00E30A7F"/>
    <w:rsid w:val="00E31057"/>
    <w:rsid w:val="00E31F35"/>
    <w:rsid w:val="00E3281C"/>
    <w:rsid w:val="00E32978"/>
    <w:rsid w:val="00E32A1D"/>
    <w:rsid w:val="00E335D7"/>
    <w:rsid w:val="00E339E8"/>
    <w:rsid w:val="00E35579"/>
    <w:rsid w:val="00E356B5"/>
    <w:rsid w:val="00E358C4"/>
    <w:rsid w:val="00E363CD"/>
    <w:rsid w:val="00E36762"/>
    <w:rsid w:val="00E36991"/>
    <w:rsid w:val="00E36C6C"/>
    <w:rsid w:val="00E372BC"/>
    <w:rsid w:val="00E4207A"/>
    <w:rsid w:val="00E422E9"/>
    <w:rsid w:val="00E423C0"/>
    <w:rsid w:val="00E427EE"/>
    <w:rsid w:val="00E437A2"/>
    <w:rsid w:val="00E43ED3"/>
    <w:rsid w:val="00E45327"/>
    <w:rsid w:val="00E46898"/>
    <w:rsid w:val="00E4723C"/>
    <w:rsid w:val="00E47E70"/>
    <w:rsid w:val="00E50D8C"/>
    <w:rsid w:val="00E50F12"/>
    <w:rsid w:val="00E51042"/>
    <w:rsid w:val="00E51B18"/>
    <w:rsid w:val="00E53706"/>
    <w:rsid w:val="00E55392"/>
    <w:rsid w:val="00E56618"/>
    <w:rsid w:val="00E56D6E"/>
    <w:rsid w:val="00E57668"/>
    <w:rsid w:val="00E61528"/>
    <w:rsid w:val="00E62030"/>
    <w:rsid w:val="00E6231F"/>
    <w:rsid w:val="00E62CDE"/>
    <w:rsid w:val="00E6414C"/>
    <w:rsid w:val="00E64975"/>
    <w:rsid w:val="00E66D33"/>
    <w:rsid w:val="00E670A1"/>
    <w:rsid w:val="00E701AE"/>
    <w:rsid w:val="00E71C63"/>
    <w:rsid w:val="00E72186"/>
    <w:rsid w:val="00E7260F"/>
    <w:rsid w:val="00E747B2"/>
    <w:rsid w:val="00E77167"/>
    <w:rsid w:val="00E77B22"/>
    <w:rsid w:val="00E77D39"/>
    <w:rsid w:val="00E800BD"/>
    <w:rsid w:val="00E80CB0"/>
    <w:rsid w:val="00E813D4"/>
    <w:rsid w:val="00E81674"/>
    <w:rsid w:val="00E822A0"/>
    <w:rsid w:val="00E83390"/>
    <w:rsid w:val="00E85338"/>
    <w:rsid w:val="00E8702D"/>
    <w:rsid w:val="00E916A9"/>
    <w:rsid w:val="00E916DE"/>
    <w:rsid w:val="00E91BED"/>
    <w:rsid w:val="00E91E00"/>
    <w:rsid w:val="00E92492"/>
    <w:rsid w:val="00E925AD"/>
    <w:rsid w:val="00E9316D"/>
    <w:rsid w:val="00E93730"/>
    <w:rsid w:val="00E9436B"/>
    <w:rsid w:val="00E94B1B"/>
    <w:rsid w:val="00E95839"/>
    <w:rsid w:val="00E95D07"/>
    <w:rsid w:val="00E961E6"/>
    <w:rsid w:val="00E96630"/>
    <w:rsid w:val="00E96CE3"/>
    <w:rsid w:val="00E97433"/>
    <w:rsid w:val="00E97CC5"/>
    <w:rsid w:val="00EA0927"/>
    <w:rsid w:val="00EA123A"/>
    <w:rsid w:val="00EA1FAD"/>
    <w:rsid w:val="00EA2030"/>
    <w:rsid w:val="00EA329E"/>
    <w:rsid w:val="00EA5503"/>
    <w:rsid w:val="00EA5D02"/>
    <w:rsid w:val="00EA6668"/>
    <w:rsid w:val="00EA6DE0"/>
    <w:rsid w:val="00EA6E87"/>
    <w:rsid w:val="00EA7701"/>
    <w:rsid w:val="00EA7756"/>
    <w:rsid w:val="00EA7D7C"/>
    <w:rsid w:val="00EB054E"/>
    <w:rsid w:val="00EB0828"/>
    <w:rsid w:val="00EB13FA"/>
    <w:rsid w:val="00EB14E8"/>
    <w:rsid w:val="00EB26C1"/>
    <w:rsid w:val="00EB2C73"/>
    <w:rsid w:val="00EB35F6"/>
    <w:rsid w:val="00EB37E9"/>
    <w:rsid w:val="00EB380E"/>
    <w:rsid w:val="00EB381A"/>
    <w:rsid w:val="00EB4561"/>
    <w:rsid w:val="00EB5FDF"/>
    <w:rsid w:val="00EB68DC"/>
    <w:rsid w:val="00EB72EE"/>
    <w:rsid w:val="00EB7931"/>
    <w:rsid w:val="00EC033C"/>
    <w:rsid w:val="00EC0356"/>
    <w:rsid w:val="00EC1BA2"/>
    <w:rsid w:val="00EC2B10"/>
    <w:rsid w:val="00EC332D"/>
    <w:rsid w:val="00EC3B79"/>
    <w:rsid w:val="00EC4338"/>
    <w:rsid w:val="00EC4DEA"/>
    <w:rsid w:val="00EC5581"/>
    <w:rsid w:val="00EC59D1"/>
    <w:rsid w:val="00EC60FD"/>
    <w:rsid w:val="00ED0A7B"/>
    <w:rsid w:val="00ED0C35"/>
    <w:rsid w:val="00ED139A"/>
    <w:rsid w:val="00ED18DC"/>
    <w:rsid w:val="00ED1A83"/>
    <w:rsid w:val="00ED31CC"/>
    <w:rsid w:val="00ED39EB"/>
    <w:rsid w:val="00ED3BEE"/>
    <w:rsid w:val="00ED3C5F"/>
    <w:rsid w:val="00ED6201"/>
    <w:rsid w:val="00ED7539"/>
    <w:rsid w:val="00ED7A2A"/>
    <w:rsid w:val="00EE4CCD"/>
    <w:rsid w:val="00EE4F3D"/>
    <w:rsid w:val="00EE56C5"/>
    <w:rsid w:val="00EE6AD5"/>
    <w:rsid w:val="00EE6F32"/>
    <w:rsid w:val="00EE7316"/>
    <w:rsid w:val="00EE7770"/>
    <w:rsid w:val="00EF06C3"/>
    <w:rsid w:val="00EF0E7F"/>
    <w:rsid w:val="00EF0F0C"/>
    <w:rsid w:val="00EF19A7"/>
    <w:rsid w:val="00EF1D7F"/>
    <w:rsid w:val="00EF2030"/>
    <w:rsid w:val="00EF2A09"/>
    <w:rsid w:val="00EF2B7E"/>
    <w:rsid w:val="00EF306E"/>
    <w:rsid w:val="00EF30B1"/>
    <w:rsid w:val="00EF37E7"/>
    <w:rsid w:val="00EF3A49"/>
    <w:rsid w:val="00EF62DA"/>
    <w:rsid w:val="00EF707E"/>
    <w:rsid w:val="00EF7454"/>
    <w:rsid w:val="00F0009D"/>
    <w:rsid w:val="00F00D39"/>
    <w:rsid w:val="00F00EAF"/>
    <w:rsid w:val="00F0102D"/>
    <w:rsid w:val="00F0137E"/>
    <w:rsid w:val="00F02CBB"/>
    <w:rsid w:val="00F03219"/>
    <w:rsid w:val="00F04826"/>
    <w:rsid w:val="00F05C18"/>
    <w:rsid w:val="00F067B3"/>
    <w:rsid w:val="00F06C9C"/>
    <w:rsid w:val="00F073D5"/>
    <w:rsid w:val="00F07FCE"/>
    <w:rsid w:val="00F11A3E"/>
    <w:rsid w:val="00F12296"/>
    <w:rsid w:val="00F12A4A"/>
    <w:rsid w:val="00F12EB5"/>
    <w:rsid w:val="00F13402"/>
    <w:rsid w:val="00F15056"/>
    <w:rsid w:val="00F16213"/>
    <w:rsid w:val="00F1624B"/>
    <w:rsid w:val="00F1756C"/>
    <w:rsid w:val="00F2069D"/>
    <w:rsid w:val="00F21085"/>
    <w:rsid w:val="00F21786"/>
    <w:rsid w:val="00F2206E"/>
    <w:rsid w:val="00F22882"/>
    <w:rsid w:val="00F22B4D"/>
    <w:rsid w:val="00F2320B"/>
    <w:rsid w:val="00F24333"/>
    <w:rsid w:val="00F24CB0"/>
    <w:rsid w:val="00F24EDE"/>
    <w:rsid w:val="00F26C09"/>
    <w:rsid w:val="00F27896"/>
    <w:rsid w:val="00F27D44"/>
    <w:rsid w:val="00F31312"/>
    <w:rsid w:val="00F31D4C"/>
    <w:rsid w:val="00F324FB"/>
    <w:rsid w:val="00F32759"/>
    <w:rsid w:val="00F32DD6"/>
    <w:rsid w:val="00F34727"/>
    <w:rsid w:val="00F349CF"/>
    <w:rsid w:val="00F34B41"/>
    <w:rsid w:val="00F35027"/>
    <w:rsid w:val="00F3742B"/>
    <w:rsid w:val="00F37D70"/>
    <w:rsid w:val="00F40BF3"/>
    <w:rsid w:val="00F40FEC"/>
    <w:rsid w:val="00F41FDB"/>
    <w:rsid w:val="00F420DE"/>
    <w:rsid w:val="00F42246"/>
    <w:rsid w:val="00F43116"/>
    <w:rsid w:val="00F4455D"/>
    <w:rsid w:val="00F44B78"/>
    <w:rsid w:val="00F44BB5"/>
    <w:rsid w:val="00F44C3C"/>
    <w:rsid w:val="00F45FD6"/>
    <w:rsid w:val="00F468C2"/>
    <w:rsid w:val="00F507EC"/>
    <w:rsid w:val="00F5177E"/>
    <w:rsid w:val="00F51EA3"/>
    <w:rsid w:val="00F52494"/>
    <w:rsid w:val="00F53147"/>
    <w:rsid w:val="00F532EB"/>
    <w:rsid w:val="00F53A57"/>
    <w:rsid w:val="00F53CD9"/>
    <w:rsid w:val="00F54925"/>
    <w:rsid w:val="00F55A3C"/>
    <w:rsid w:val="00F55EC8"/>
    <w:rsid w:val="00F56A6B"/>
    <w:rsid w:val="00F56CDB"/>
    <w:rsid w:val="00F56D63"/>
    <w:rsid w:val="00F57A4B"/>
    <w:rsid w:val="00F600F0"/>
    <w:rsid w:val="00F60603"/>
    <w:rsid w:val="00F609A9"/>
    <w:rsid w:val="00F60E7D"/>
    <w:rsid w:val="00F61203"/>
    <w:rsid w:val="00F6314C"/>
    <w:rsid w:val="00F651A8"/>
    <w:rsid w:val="00F65565"/>
    <w:rsid w:val="00F6574B"/>
    <w:rsid w:val="00F66360"/>
    <w:rsid w:val="00F67789"/>
    <w:rsid w:val="00F67ABA"/>
    <w:rsid w:val="00F705D1"/>
    <w:rsid w:val="00F718B3"/>
    <w:rsid w:val="00F730EE"/>
    <w:rsid w:val="00F73B82"/>
    <w:rsid w:val="00F74CC4"/>
    <w:rsid w:val="00F75126"/>
    <w:rsid w:val="00F76112"/>
    <w:rsid w:val="00F76215"/>
    <w:rsid w:val="00F76F19"/>
    <w:rsid w:val="00F80C99"/>
    <w:rsid w:val="00F83187"/>
    <w:rsid w:val="00F835E8"/>
    <w:rsid w:val="00F83722"/>
    <w:rsid w:val="00F8487A"/>
    <w:rsid w:val="00F84FD6"/>
    <w:rsid w:val="00F856C8"/>
    <w:rsid w:val="00F867EC"/>
    <w:rsid w:val="00F86B5F"/>
    <w:rsid w:val="00F86DD1"/>
    <w:rsid w:val="00F87427"/>
    <w:rsid w:val="00F87A46"/>
    <w:rsid w:val="00F908A4"/>
    <w:rsid w:val="00F91619"/>
    <w:rsid w:val="00F91B2B"/>
    <w:rsid w:val="00F91F42"/>
    <w:rsid w:val="00F920E8"/>
    <w:rsid w:val="00F9214D"/>
    <w:rsid w:val="00F926EB"/>
    <w:rsid w:val="00F94139"/>
    <w:rsid w:val="00F95427"/>
    <w:rsid w:val="00F9555E"/>
    <w:rsid w:val="00F96489"/>
    <w:rsid w:val="00F96646"/>
    <w:rsid w:val="00F96824"/>
    <w:rsid w:val="00F96EB8"/>
    <w:rsid w:val="00F97802"/>
    <w:rsid w:val="00FA1A75"/>
    <w:rsid w:val="00FA1F6F"/>
    <w:rsid w:val="00FA2F96"/>
    <w:rsid w:val="00FA3032"/>
    <w:rsid w:val="00FA3DC0"/>
    <w:rsid w:val="00FA43E2"/>
    <w:rsid w:val="00FA48C9"/>
    <w:rsid w:val="00FA635C"/>
    <w:rsid w:val="00FB0DF0"/>
    <w:rsid w:val="00FB2858"/>
    <w:rsid w:val="00FB2CE3"/>
    <w:rsid w:val="00FB322F"/>
    <w:rsid w:val="00FB3D49"/>
    <w:rsid w:val="00FB40D5"/>
    <w:rsid w:val="00FB449A"/>
    <w:rsid w:val="00FB4B5E"/>
    <w:rsid w:val="00FB53D9"/>
    <w:rsid w:val="00FC0166"/>
    <w:rsid w:val="00FC03CD"/>
    <w:rsid w:val="00FC0519"/>
    <w:rsid w:val="00FC05E1"/>
    <w:rsid w:val="00FC0646"/>
    <w:rsid w:val="00FC1D28"/>
    <w:rsid w:val="00FC26B3"/>
    <w:rsid w:val="00FC28AA"/>
    <w:rsid w:val="00FC2ED7"/>
    <w:rsid w:val="00FC3121"/>
    <w:rsid w:val="00FC370A"/>
    <w:rsid w:val="00FC48B9"/>
    <w:rsid w:val="00FC6142"/>
    <w:rsid w:val="00FC670F"/>
    <w:rsid w:val="00FC68B7"/>
    <w:rsid w:val="00FC75E3"/>
    <w:rsid w:val="00FD0144"/>
    <w:rsid w:val="00FD0CA5"/>
    <w:rsid w:val="00FD1C2F"/>
    <w:rsid w:val="00FD1E4C"/>
    <w:rsid w:val="00FD1EA1"/>
    <w:rsid w:val="00FD4AD4"/>
    <w:rsid w:val="00FD6240"/>
    <w:rsid w:val="00FD690A"/>
    <w:rsid w:val="00FD7030"/>
    <w:rsid w:val="00FD72DB"/>
    <w:rsid w:val="00FD778D"/>
    <w:rsid w:val="00FD7E87"/>
    <w:rsid w:val="00FE050D"/>
    <w:rsid w:val="00FE079F"/>
    <w:rsid w:val="00FE0B13"/>
    <w:rsid w:val="00FE10DF"/>
    <w:rsid w:val="00FE1578"/>
    <w:rsid w:val="00FE1635"/>
    <w:rsid w:val="00FE1B20"/>
    <w:rsid w:val="00FE1BB7"/>
    <w:rsid w:val="00FE250B"/>
    <w:rsid w:val="00FE2CC0"/>
    <w:rsid w:val="00FE317D"/>
    <w:rsid w:val="00FE3254"/>
    <w:rsid w:val="00FE33E8"/>
    <w:rsid w:val="00FE349D"/>
    <w:rsid w:val="00FE3FA5"/>
    <w:rsid w:val="00FE41C3"/>
    <w:rsid w:val="00FE42DE"/>
    <w:rsid w:val="00FE4609"/>
    <w:rsid w:val="00FE4A99"/>
    <w:rsid w:val="00FE6985"/>
    <w:rsid w:val="00FE6EBA"/>
    <w:rsid w:val="00FE7CE3"/>
    <w:rsid w:val="00FF1082"/>
    <w:rsid w:val="00FF2280"/>
    <w:rsid w:val="00FF2660"/>
    <w:rsid w:val="00FF2736"/>
    <w:rsid w:val="00FF4BC3"/>
    <w:rsid w:val="00FF587E"/>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02B5CD74"/>
  <w15:chartTrackingRefBased/>
  <w15:docId w15:val="{6FF836A7-B849-495D-9911-89C188D2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25AD"/>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E925AD"/>
    <w:pPr>
      <w:spacing w:after="120"/>
      <w:ind w:left="1134" w:right="1134"/>
      <w:jc w:val="both"/>
    </w:pPr>
    <w:rPr>
      <w:lang w:val="x-none"/>
    </w:r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rsid w:val="00E925AD"/>
    <w:rPr>
      <w:rFonts w:ascii="Times New Roman" w:hAnsi="Times New Roman"/>
      <w:sz w:val="18"/>
      <w:vertAlign w:val="superscript"/>
    </w:rPr>
  </w:style>
  <w:style w:type="character" w:styleId="FootnoteReference">
    <w:name w:val="footnote reference"/>
    <w:aliases w:val="4_G"/>
    <w:rsid w:val="00E925AD"/>
    <w:rPr>
      <w:rFonts w:ascii="Times New Roman" w:hAnsi="Times New Roman"/>
      <w:sz w:val="18"/>
      <w:vertAlign w:val="superscript"/>
    </w:rPr>
  </w:style>
  <w:style w:type="paragraph" w:styleId="FootnoteText">
    <w:name w:val="footnote text"/>
    <w:aliases w:val="5_G"/>
    <w:basedOn w:val="Normal"/>
    <w:link w:val="FootnoteTextCh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EndnoteText">
    <w:name w:val="endnote text"/>
    <w:aliases w:val="2_G"/>
    <w:basedOn w:val="FootnoteText"/>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Hyperlink">
    <w:name w:val="Hyperlink"/>
    <w:semiHidden/>
    <w:rsid w:val="00E925AD"/>
    <w:rPr>
      <w:color w:val="auto"/>
      <w:u w:val="none"/>
    </w:rPr>
  </w:style>
  <w:style w:type="paragraph" w:styleId="Footer">
    <w:name w:val="footer"/>
    <w:aliases w:val="3_G"/>
    <w:basedOn w:val="Normal"/>
    <w:rsid w:val="00E925AD"/>
    <w:pPr>
      <w:spacing w:line="240" w:lineRule="auto"/>
    </w:pPr>
    <w:rPr>
      <w:sz w:val="16"/>
    </w:rPr>
  </w:style>
  <w:style w:type="paragraph" w:styleId="Header">
    <w:name w:val="header"/>
    <w:aliases w:val="6_G"/>
    <w:basedOn w:val="Normal"/>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E925AD"/>
    <w:rPr>
      <w:color w:val="auto"/>
      <w:u w:val="none"/>
    </w:rPr>
  </w:style>
  <w:style w:type="character" w:styleId="CommentReference">
    <w:name w:val="annotation reference"/>
    <w:uiPriority w:val="99"/>
    <w:rsid w:val="00C90CFC"/>
    <w:rPr>
      <w:sz w:val="16"/>
      <w:szCs w:val="16"/>
    </w:rPr>
  </w:style>
  <w:style w:type="paragraph" w:styleId="CommentText">
    <w:name w:val="annotation text"/>
    <w:basedOn w:val="Normal"/>
    <w:link w:val="CommentTextChar"/>
    <w:uiPriority w:val="99"/>
    <w:rsid w:val="00C90CFC"/>
    <w:rPr>
      <w:lang w:val="x-none"/>
    </w:rPr>
  </w:style>
  <w:style w:type="paragraph" w:styleId="CommentSubject">
    <w:name w:val="annotation subject"/>
    <w:basedOn w:val="CommentText"/>
    <w:next w:val="CommentText"/>
    <w:semiHidden/>
    <w:rsid w:val="00C90CFC"/>
    <w:rPr>
      <w:b/>
      <w:bCs/>
    </w:rPr>
  </w:style>
  <w:style w:type="paragraph" w:styleId="BalloonText">
    <w:name w:val="Balloon Text"/>
    <w:basedOn w:val="Normal"/>
    <w:semiHidden/>
    <w:rsid w:val="00C90CFC"/>
    <w:rPr>
      <w:rFonts w:ascii="Tahoma" w:hAnsi="Tahoma" w:cs="Tahoma"/>
      <w:sz w:val="16"/>
      <w:szCs w:val="16"/>
    </w:rPr>
  </w:style>
  <w:style w:type="paragraph" w:customStyle="1" w:styleId="Default">
    <w:name w:val="Default"/>
    <w:rsid w:val="00A35C0F"/>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sid w:val="00A35C0F"/>
    <w:rPr>
      <w:rFonts w:cs="Times New Roman"/>
      <w:color w:val="auto"/>
    </w:rPr>
  </w:style>
  <w:style w:type="character" w:customStyle="1" w:styleId="dnindex">
    <w:name w:val="dnindex"/>
    <w:basedOn w:val="DefaultParagraphFont"/>
    <w:rsid w:val="009B08B5"/>
  </w:style>
  <w:style w:type="character" w:customStyle="1" w:styleId="labset">
    <w:name w:val="labset"/>
    <w:basedOn w:val="DefaultParagraphFont"/>
    <w:rsid w:val="009B08B5"/>
  </w:style>
  <w:style w:type="character" w:customStyle="1" w:styleId="ital-inline">
    <w:name w:val="ital-inline"/>
    <w:basedOn w:val="DefaultParagraphFont"/>
    <w:rsid w:val="009B08B5"/>
  </w:style>
  <w:style w:type="character" w:customStyle="1" w:styleId="apple-style-span">
    <w:name w:val="apple-style-span"/>
    <w:basedOn w:val="DefaultParagraphFont"/>
    <w:rsid w:val="002140E7"/>
  </w:style>
  <w:style w:type="paragraph" w:styleId="ListParagraph">
    <w:name w:val="List Paragraph"/>
    <w:basedOn w:val="Normal"/>
    <w:uiPriority w:val="34"/>
    <w:qFormat/>
    <w:rsid w:val="00205DF4"/>
    <w:pPr>
      <w:ind w:left="720"/>
    </w:pPr>
  </w:style>
  <w:style w:type="character" w:customStyle="1" w:styleId="FontStyle60">
    <w:name w:val="Font Style60"/>
    <w:rsid w:val="00535807"/>
    <w:rPr>
      <w:rFonts w:ascii="Times New Roman" w:hAnsi="Times New Roman" w:cs="Times New Roman"/>
      <w:sz w:val="20"/>
    </w:rPr>
  </w:style>
  <w:style w:type="paragraph" w:customStyle="1" w:styleId="Style3">
    <w:name w:val="Style3"/>
    <w:basedOn w:val="Normal"/>
    <w:rsid w:val="004761A3"/>
    <w:pPr>
      <w:widowControl w:val="0"/>
      <w:autoSpaceDE w:val="0"/>
      <w:spacing w:line="220" w:lineRule="exact"/>
      <w:ind w:firstLine="475"/>
      <w:jc w:val="both"/>
    </w:pPr>
    <w:rPr>
      <w:sz w:val="24"/>
      <w:szCs w:val="24"/>
      <w:lang w:val="uk-UA" w:eastAsia="ar-SA"/>
    </w:rPr>
  </w:style>
  <w:style w:type="character" w:customStyle="1" w:styleId="CommentTextChar">
    <w:name w:val="Comment Text Char"/>
    <w:link w:val="CommentText"/>
    <w:rsid w:val="004761A3"/>
    <w:rPr>
      <w:lang w:eastAsia="en-US"/>
    </w:rPr>
  </w:style>
  <w:style w:type="character" w:styleId="Strong">
    <w:name w:val="Strong"/>
    <w:uiPriority w:val="22"/>
    <w:qFormat/>
    <w:rsid w:val="008F1F09"/>
    <w:rPr>
      <w:b/>
      <w:bCs/>
    </w:rPr>
  </w:style>
  <w:style w:type="character" w:styleId="Emphasis">
    <w:name w:val="Emphasis"/>
    <w:uiPriority w:val="20"/>
    <w:qFormat/>
    <w:rsid w:val="006B3ED4"/>
    <w:rPr>
      <w:i/>
      <w:iCs/>
    </w:rPr>
  </w:style>
  <w:style w:type="character" w:customStyle="1" w:styleId="st">
    <w:name w:val="st"/>
    <w:rsid w:val="006B3ED4"/>
  </w:style>
  <w:style w:type="paragraph" w:customStyle="1" w:styleId="legclearfix">
    <w:name w:val="legclearfix"/>
    <w:basedOn w:val="Normal"/>
    <w:rsid w:val="00F16213"/>
    <w:pPr>
      <w:suppressAutoHyphens w:val="0"/>
      <w:spacing w:before="100" w:beforeAutospacing="1" w:after="100" w:afterAutospacing="1" w:line="240" w:lineRule="auto"/>
    </w:pPr>
    <w:rPr>
      <w:sz w:val="24"/>
      <w:szCs w:val="24"/>
      <w:lang w:val="fr-FR" w:eastAsia="fr-FR"/>
    </w:rPr>
  </w:style>
  <w:style w:type="character" w:customStyle="1" w:styleId="legds">
    <w:name w:val="legds"/>
    <w:rsid w:val="00F16213"/>
  </w:style>
  <w:style w:type="character" w:customStyle="1" w:styleId="apple-converted-space">
    <w:name w:val="apple-converted-space"/>
    <w:rsid w:val="00C336C2"/>
  </w:style>
  <w:style w:type="paragraph" w:styleId="NormalWeb">
    <w:name w:val="Normal (Web)"/>
    <w:basedOn w:val="Normal"/>
    <w:uiPriority w:val="99"/>
    <w:unhideWhenUsed/>
    <w:rsid w:val="00C336C2"/>
    <w:pPr>
      <w:suppressAutoHyphens w:val="0"/>
      <w:spacing w:before="100" w:beforeAutospacing="1" w:after="100" w:afterAutospacing="1" w:line="240" w:lineRule="auto"/>
    </w:pPr>
    <w:rPr>
      <w:sz w:val="24"/>
      <w:szCs w:val="24"/>
      <w:lang w:val="fr-FR" w:eastAsia="fr-FR"/>
    </w:rPr>
  </w:style>
  <w:style w:type="character" w:customStyle="1" w:styleId="SingleTxtGChar">
    <w:name w:val="_ Single Txt_G Char"/>
    <w:link w:val="SingleTxtG"/>
    <w:locked/>
    <w:rsid w:val="00976D18"/>
    <w:rPr>
      <w:lang w:eastAsia="en-US"/>
    </w:rPr>
  </w:style>
  <w:style w:type="character" w:customStyle="1" w:styleId="FootnoteTextChar">
    <w:name w:val="Footnote Text Char"/>
    <w:aliases w:val="5_G Char"/>
    <w:link w:val="FootnoteText"/>
    <w:rsid w:val="00976D18"/>
    <w:rPr>
      <w:sz w:val="18"/>
      <w:lang w:eastAsia="en-US"/>
    </w:rPr>
  </w:style>
  <w:style w:type="character" w:customStyle="1" w:styleId="highlight">
    <w:name w:val="highlight"/>
    <w:basedOn w:val="DefaultParagraphFont"/>
    <w:rsid w:val="00471092"/>
  </w:style>
  <w:style w:type="paragraph" w:customStyle="1" w:styleId="c02alineaalta">
    <w:name w:val="c02alineaalta"/>
    <w:basedOn w:val="Normal"/>
    <w:rsid w:val="001E1C17"/>
    <w:pPr>
      <w:suppressAutoHyphens w:val="0"/>
      <w:spacing w:before="100" w:beforeAutospacing="1" w:after="100" w:afterAutospacing="1" w:line="240" w:lineRule="auto"/>
    </w:pPr>
    <w:rPr>
      <w:sz w:val="24"/>
      <w:szCs w:val="24"/>
      <w:lang w:eastAsia="en-GB"/>
    </w:rPr>
  </w:style>
  <w:style w:type="paragraph" w:customStyle="1" w:styleId="c19centre">
    <w:name w:val="c19centre"/>
    <w:basedOn w:val="Normal"/>
    <w:rsid w:val="001E1C17"/>
    <w:pPr>
      <w:suppressAutoHyphens w:val="0"/>
      <w:spacing w:before="100" w:beforeAutospacing="1" w:after="100" w:afterAutospacing="1" w:line="240" w:lineRule="auto"/>
    </w:pPr>
    <w:rPr>
      <w:sz w:val="24"/>
      <w:szCs w:val="24"/>
      <w:lang w:eastAsia="en-GB"/>
    </w:rPr>
  </w:style>
  <w:style w:type="paragraph" w:styleId="Revision">
    <w:name w:val="Revision"/>
    <w:hidden/>
    <w:uiPriority w:val="99"/>
    <w:semiHidden/>
    <w:rsid w:val="007C254C"/>
    <w:rPr>
      <w:lang w:val="en-GB"/>
    </w:rPr>
  </w:style>
  <w:style w:type="character" w:customStyle="1" w:styleId="UnresolvedMention1">
    <w:name w:val="Unresolved Mention1"/>
    <w:basedOn w:val="DefaultParagraphFont"/>
    <w:uiPriority w:val="99"/>
    <w:semiHidden/>
    <w:unhideWhenUsed/>
    <w:rsid w:val="006219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3721">
      <w:bodyDiv w:val="1"/>
      <w:marLeft w:val="0"/>
      <w:marRight w:val="0"/>
      <w:marTop w:val="0"/>
      <w:marBottom w:val="0"/>
      <w:divBdr>
        <w:top w:val="none" w:sz="0" w:space="0" w:color="auto"/>
        <w:left w:val="none" w:sz="0" w:space="0" w:color="auto"/>
        <w:bottom w:val="none" w:sz="0" w:space="0" w:color="auto"/>
        <w:right w:val="none" w:sz="0" w:space="0" w:color="auto"/>
      </w:divBdr>
      <w:divsChild>
        <w:div w:id="1238512687">
          <w:marLeft w:val="0"/>
          <w:marRight w:val="0"/>
          <w:marTop w:val="0"/>
          <w:marBottom w:val="0"/>
          <w:divBdr>
            <w:top w:val="none" w:sz="0" w:space="0" w:color="auto"/>
            <w:left w:val="none" w:sz="0" w:space="0" w:color="auto"/>
            <w:bottom w:val="none" w:sz="0" w:space="0" w:color="auto"/>
            <w:right w:val="none" w:sz="0" w:space="0" w:color="auto"/>
          </w:divBdr>
          <w:divsChild>
            <w:div w:id="429353879">
              <w:marLeft w:val="0"/>
              <w:marRight w:val="0"/>
              <w:marTop w:val="0"/>
              <w:marBottom w:val="0"/>
              <w:divBdr>
                <w:top w:val="none" w:sz="0" w:space="0" w:color="auto"/>
                <w:left w:val="none" w:sz="0" w:space="0" w:color="auto"/>
                <w:bottom w:val="none" w:sz="0" w:space="0" w:color="auto"/>
                <w:right w:val="none" w:sz="0" w:space="0" w:color="auto"/>
              </w:divBdr>
            </w:div>
            <w:div w:id="980623177">
              <w:marLeft w:val="0"/>
              <w:marRight w:val="0"/>
              <w:marTop w:val="0"/>
              <w:marBottom w:val="0"/>
              <w:divBdr>
                <w:top w:val="none" w:sz="0" w:space="0" w:color="auto"/>
                <w:left w:val="none" w:sz="0" w:space="0" w:color="auto"/>
                <w:bottom w:val="none" w:sz="0" w:space="0" w:color="auto"/>
                <w:right w:val="none" w:sz="0" w:space="0" w:color="auto"/>
              </w:divBdr>
            </w:div>
            <w:div w:id="16323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3434">
      <w:bodyDiv w:val="1"/>
      <w:marLeft w:val="0"/>
      <w:marRight w:val="0"/>
      <w:marTop w:val="0"/>
      <w:marBottom w:val="0"/>
      <w:divBdr>
        <w:top w:val="none" w:sz="0" w:space="0" w:color="auto"/>
        <w:left w:val="none" w:sz="0" w:space="0" w:color="auto"/>
        <w:bottom w:val="none" w:sz="0" w:space="0" w:color="auto"/>
        <w:right w:val="none" w:sz="0" w:space="0" w:color="auto"/>
      </w:divBdr>
    </w:div>
    <w:div w:id="371998521">
      <w:bodyDiv w:val="1"/>
      <w:marLeft w:val="0"/>
      <w:marRight w:val="0"/>
      <w:marTop w:val="0"/>
      <w:marBottom w:val="0"/>
      <w:divBdr>
        <w:top w:val="none" w:sz="0" w:space="0" w:color="auto"/>
        <w:left w:val="none" w:sz="0" w:space="0" w:color="auto"/>
        <w:bottom w:val="none" w:sz="0" w:space="0" w:color="auto"/>
        <w:right w:val="none" w:sz="0" w:space="0" w:color="auto"/>
      </w:divBdr>
    </w:div>
    <w:div w:id="509419463">
      <w:bodyDiv w:val="1"/>
      <w:marLeft w:val="0"/>
      <w:marRight w:val="0"/>
      <w:marTop w:val="0"/>
      <w:marBottom w:val="0"/>
      <w:divBdr>
        <w:top w:val="none" w:sz="0" w:space="0" w:color="auto"/>
        <w:left w:val="none" w:sz="0" w:space="0" w:color="auto"/>
        <w:bottom w:val="none" w:sz="0" w:space="0" w:color="auto"/>
        <w:right w:val="none" w:sz="0" w:space="0" w:color="auto"/>
      </w:divBdr>
    </w:div>
    <w:div w:id="557667048">
      <w:bodyDiv w:val="1"/>
      <w:marLeft w:val="0"/>
      <w:marRight w:val="0"/>
      <w:marTop w:val="0"/>
      <w:marBottom w:val="0"/>
      <w:divBdr>
        <w:top w:val="none" w:sz="0" w:space="0" w:color="auto"/>
        <w:left w:val="none" w:sz="0" w:space="0" w:color="auto"/>
        <w:bottom w:val="none" w:sz="0" w:space="0" w:color="auto"/>
        <w:right w:val="none" w:sz="0" w:space="0" w:color="auto"/>
      </w:divBdr>
    </w:div>
    <w:div w:id="637494869">
      <w:bodyDiv w:val="1"/>
      <w:marLeft w:val="0"/>
      <w:marRight w:val="0"/>
      <w:marTop w:val="0"/>
      <w:marBottom w:val="0"/>
      <w:divBdr>
        <w:top w:val="none" w:sz="0" w:space="0" w:color="auto"/>
        <w:left w:val="none" w:sz="0" w:space="0" w:color="auto"/>
        <w:bottom w:val="none" w:sz="0" w:space="0" w:color="auto"/>
        <w:right w:val="none" w:sz="0" w:space="0" w:color="auto"/>
      </w:divBdr>
    </w:div>
    <w:div w:id="679044028">
      <w:bodyDiv w:val="1"/>
      <w:marLeft w:val="0"/>
      <w:marRight w:val="0"/>
      <w:marTop w:val="0"/>
      <w:marBottom w:val="0"/>
      <w:divBdr>
        <w:top w:val="none" w:sz="0" w:space="0" w:color="auto"/>
        <w:left w:val="none" w:sz="0" w:space="0" w:color="auto"/>
        <w:bottom w:val="none" w:sz="0" w:space="0" w:color="auto"/>
        <w:right w:val="none" w:sz="0" w:space="0" w:color="auto"/>
      </w:divBdr>
      <w:divsChild>
        <w:div w:id="4595600">
          <w:marLeft w:val="0"/>
          <w:marRight w:val="0"/>
          <w:marTop w:val="0"/>
          <w:marBottom w:val="0"/>
          <w:divBdr>
            <w:top w:val="none" w:sz="0" w:space="0" w:color="auto"/>
            <w:left w:val="none" w:sz="0" w:space="0" w:color="auto"/>
            <w:bottom w:val="none" w:sz="0" w:space="0" w:color="auto"/>
            <w:right w:val="none" w:sz="0" w:space="0" w:color="auto"/>
          </w:divBdr>
        </w:div>
        <w:div w:id="58136868">
          <w:marLeft w:val="0"/>
          <w:marRight w:val="0"/>
          <w:marTop w:val="0"/>
          <w:marBottom w:val="0"/>
          <w:divBdr>
            <w:top w:val="none" w:sz="0" w:space="0" w:color="auto"/>
            <w:left w:val="none" w:sz="0" w:space="0" w:color="auto"/>
            <w:bottom w:val="none" w:sz="0" w:space="0" w:color="auto"/>
            <w:right w:val="none" w:sz="0" w:space="0" w:color="auto"/>
          </w:divBdr>
        </w:div>
        <w:div w:id="85814030">
          <w:marLeft w:val="0"/>
          <w:marRight w:val="0"/>
          <w:marTop w:val="0"/>
          <w:marBottom w:val="0"/>
          <w:divBdr>
            <w:top w:val="none" w:sz="0" w:space="0" w:color="auto"/>
            <w:left w:val="none" w:sz="0" w:space="0" w:color="auto"/>
            <w:bottom w:val="none" w:sz="0" w:space="0" w:color="auto"/>
            <w:right w:val="none" w:sz="0" w:space="0" w:color="auto"/>
          </w:divBdr>
        </w:div>
        <w:div w:id="106121071">
          <w:marLeft w:val="0"/>
          <w:marRight w:val="0"/>
          <w:marTop w:val="0"/>
          <w:marBottom w:val="0"/>
          <w:divBdr>
            <w:top w:val="none" w:sz="0" w:space="0" w:color="auto"/>
            <w:left w:val="none" w:sz="0" w:space="0" w:color="auto"/>
            <w:bottom w:val="none" w:sz="0" w:space="0" w:color="auto"/>
            <w:right w:val="none" w:sz="0" w:space="0" w:color="auto"/>
          </w:divBdr>
        </w:div>
        <w:div w:id="121196017">
          <w:marLeft w:val="0"/>
          <w:marRight w:val="0"/>
          <w:marTop w:val="0"/>
          <w:marBottom w:val="0"/>
          <w:divBdr>
            <w:top w:val="none" w:sz="0" w:space="0" w:color="auto"/>
            <w:left w:val="none" w:sz="0" w:space="0" w:color="auto"/>
            <w:bottom w:val="none" w:sz="0" w:space="0" w:color="auto"/>
            <w:right w:val="none" w:sz="0" w:space="0" w:color="auto"/>
          </w:divBdr>
        </w:div>
        <w:div w:id="124472974">
          <w:marLeft w:val="0"/>
          <w:marRight w:val="0"/>
          <w:marTop w:val="0"/>
          <w:marBottom w:val="0"/>
          <w:divBdr>
            <w:top w:val="none" w:sz="0" w:space="0" w:color="auto"/>
            <w:left w:val="none" w:sz="0" w:space="0" w:color="auto"/>
            <w:bottom w:val="none" w:sz="0" w:space="0" w:color="auto"/>
            <w:right w:val="none" w:sz="0" w:space="0" w:color="auto"/>
          </w:divBdr>
        </w:div>
        <w:div w:id="145513786">
          <w:marLeft w:val="0"/>
          <w:marRight w:val="0"/>
          <w:marTop w:val="0"/>
          <w:marBottom w:val="0"/>
          <w:divBdr>
            <w:top w:val="none" w:sz="0" w:space="0" w:color="auto"/>
            <w:left w:val="none" w:sz="0" w:space="0" w:color="auto"/>
            <w:bottom w:val="none" w:sz="0" w:space="0" w:color="auto"/>
            <w:right w:val="none" w:sz="0" w:space="0" w:color="auto"/>
          </w:divBdr>
        </w:div>
        <w:div w:id="158888314">
          <w:marLeft w:val="0"/>
          <w:marRight w:val="0"/>
          <w:marTop w:val="0"/>
          <w:marBottom w:val="0"/>
          <w:divBdr>
            <w:top w:val="none" w:sz="0" w:space="0" w:color="auto"/>
            <w:left w:val="none" w:sz="0" w:space="0" w:color="auto"/>
            <w:bottom w:val="none" w:sz="0" w:space="0" w:color="auto"/>
            <w:right w:val="none" w:sz="0" w:space="0" w:color="auto"/>
          </w:divBdr>
        </w:div>
        <w:div w:id="196965253">
          <w:marLeft w:val="0"/>
          <w:marRight w:val="0"/>
          <w:marTop w:val="0"/>
          <w:marBottom w:val="0"/>
          <w:divBdr>
            <w:top w:val="none" w:sz="0" w:space="0" w:color="auto"/>
            <w:left w:val="none" w:sz="0" w:space="0" w:color="auto"/>
            <w:bottom w:val="none" w:sz="0" w:space="0" w:color="auto"/>
            <w:right w:val="none" w:sz="0" w:space="0" w:color="auto"/>
          </w:divBdr>
        </w:div>
        <w:div w:id="219218005">
          <w:marLeft w:val="0"/>
          <w:marRight w:val="0"/>
          <w:marTop w:val="0"/>
          <w:marBottom w:val="0"/>
          <w:divBdr>
            <w:top w:val="none" w:sz="0" w:space="0" w:color="auto"/>
            <w:left w:val="none" w:sz="0" w:space="0" w:color="auto"/>
            <w:bottom w:val="none" w:sz="0" w:space="0" w:color="auto"/>
            <w:right w:val="none" w:sz="0" w:space="0" w:color="auto"/>
          </w:divBdr>
        </w:div>
        <w:div w:id="331176758">
          <w:marLeft w:val="0"/>
          <w:marRight w:val="0"/>
          <w:marTop w:val="0"/>
          <w:marBottom w:val="0"/>
          <w:divBdr>
            <w:top w:val="none" w:sz="0" w:space="0" w:color="auto"/>
            <w:left w:val="none" w:sz="0" w:space="0" w:color="auto"/>
            <w:bottom w:val="none" w:sz="0" w:space="0" w:color="auto"/>
            <w:right w:val="none" w:sz="0" w:space="0" w:color="auto"/>
          </w:divBdr>
        </w:div>
        <w:div w:id="376248083">
          <w:marLeft w:val="0"/>
          <w:marRight w:val="0"/>
          <w:marTop w:val="0"/>
          <w:marBottom w:val="0"/>
          <w:divBdr>
            <w:top w:val="none" w:sz="0" w:space="0" w:color="auto"/>
            <w:left w:val="none" w:sz="0" w:space="0" w:color="auto"/>
            <w:bottom w:val="none" w:sz="0" w:space="0" w:color="auto"/>
            <w:right w:val="none" w:sz="0" w:space="0" w:color="auto"/>
          </w:divBdr>
        </w:div>
        <w:div w:id="429470351">
          <w:marLeft w:val="0"/>
          <w:marRight w:val="0"/>
          <w:marTop w:val="0"/>
          <w:marBottom w:val="0"/>
          <w:divBdr>
            <w:top w:val="none" w:sz="0" w:space="0" w:color="auto"/>
            <w:left w:val="none" w:sz="0" w:space="0" w:color="auto"/>
            <w:bottom w:val="none" w:sz="0" w:space="0" w:color="auto"/>
            <w:right w:val="none" w:sz="0" w:space="0" w:color="auto"/>
          </w:divBdr>
        </w:div>
        <w:div w:id="431166937">
          <w:marLeft w:val="0"/>
          <w:marRight w:val="0"/>
          <w:marTop w:val="0"/>
          <w:marBottom w:val="0"/>
          <w:divBdr>
            <w:top w:val="none" w:sz="0" w:space="0" w:color="auto"/>
            <w:left w:val="none" w:sz="0" w:space="0" w:color="auto"/>
            <w:bottom w:val="none" w:sz="0" w:space="0" w:color="auto"/>
            <w:right w:val="none" w:sz="0" w:space="0" w:color="auto"/>
          </w:divBdr>
        </w:div>
        <w:div w:id="432285324">
          <w:marLeft w:val="0"/>
          <w:marRight w:val="0"/>
          <w:marTop w:val="0"/>
          <w:marBottom w:val="0"/>
          <w:divBdr>
            <w:top w:val="none" w:sz="0" w:space="0" w:color="auto"/>
            <w:left w:val="none" w:sz="0" w:space="0" w:color="auto"/>
            <w:bottom w:val="none" w:sz="0" w:space="0" w:color="auto"/>
            <w:right w:val="none" w:sz="0" w:space="0" w:color="auto"/>
          </w:divBdr>
        </w:div>
        <w:div w:id="443841465">
          <w:marLeft w:val="0"/>
          <w:marRight w:val="0"/>
          <w:marTop w:val="0"/>
          <w:marBottom w:val="0"/>
          <w:divBdr>
            <w:top w:val="none" w:sz="0" w:space="0" w:color="auto"/>
            <w:left w:val="none" w:sz="0" w:space="0" w:color="auto"/>
            <w:bottom w:val="none" w:sz="0" w:space="0" w:color="auto"/>
            <w:right w:val="none" w:sz="0" w:space="0" w:color="auto"/>
          </w:divBdr>
        </w:div>
        <w:div w:id="448084719">
          <w:marLeft w:val="0"/>
          <w:marRight w:val="0"/>
          <w:marTop w:val="0"/>
          <w:marBottom w:val="0"/>
          <w:divBdr>
            <w:top w:val="none" w:sz="0" w:space="0" w:color="auto"/>
            <w:left w:val="none" w:sz="0" w:space="0" w:color="auto"/>
            <w:bottom w:val="none" w:sz="0" w:space="0" w:color="auto"/>
            <w:right w:val="none" w:sz="0" w:space="0" w:color="auto"/>
          </w:divBdr>
        </w:div>
        <w:div w:id="480662055">
          <w:marLeft w:val="0"/>
          <w:marRight w:val="0"/>
          <w:marTop w:val="0"/>
          <w:marBottom w:val="0"/>
          <w:divBdr>
            <w:top w:val="none" w:sz="0" w:space="0" w:color="auto"/>
            <w:left w:val="none" w:sz="0" w:space="0" w:color="auto"/>
            <w:bottom w:val="none" w:sz="0" w:space="0" w:color="auto"/>
            <w:right w:val="none" w:sz="0" w:space="0" w:color="auto"/>
          </w:divBdr>
        </w:div>
        <w:div w:id="485513675">
          <w:marLeft w:val="0"/>
          <w:marRight w:val="0"/>
          <w:marTop w:val="0"/>
          <w:marBottom w:val="0"/>
          <w:divBdr>
            <w:top w:val="none" w:sz="0" w:space="0" w:color="auto"/>
            <w:left w:val="none" w:sz="0" w:space="0" w:color="auto"/>
            <w:bottom w:val="none" w:sz="0" w:space="0" w:color="auto"/>
            <w:right w:val="none" w:sz="0" w:space="0" w:color="auto"/>
          </w:divBdr>
        </w:div>
        <w:div w:id="613637131">
          <w:marLeft w:val="0"/>
          <w:marRight w:val="0"/>
          <w:marTop w:val="0"/>
          <w:marBottom w:val="0"/>
          <w:divBdr>
            <w:top w:val="none" w:sz="0" w:space="0" w:color="auto"/>
            <w:left w:val="none" w:sz="0" w:space="0" w:color="auto"/>
            <w:bottom w:val="none" w:sz="0" w:space="0" w:color="auto"/>
            <w:right w:val="none" w:sz="0" w:space="0" w:color="auto"/>
          </w:divBdr>
        </w:div>
        <w:div w:id="686903327">
          <w:marLeft w:val="0"/>
          <w:marRight w:val="0"/>
          <w:marTop w:val="0"/>
          <w:marBottom w:val="0"/>
          <w:divBdr>
            <w:top w:val="none" w:sz="0" w:space="0" w:color="auto"/>
            <w:left w:val="none" w:sz="0" w:space="0" w:color="auto"/>
            <w:bottom w:val="none" w:sz="0" w:space="0" w:color="auto"/>
            <w:right w:val="none" w:sz="0" w:space="0" w:color="auto"/>
          </w:divBdr>
        </w:div>
        <w:div w:id="719091508">
          <w:marLeft w:val="0"/>
          <w:marRight w:val="0"/>
          <w:marTop w:val="0"/>
          <w:marBottom w:val="0"/>
          <w:divBdr>
            <w:top w:val="none" w:sz="0" w:space="0" w:color="auto"/>
            <w:left w:val="none" w:sz="0" w:space="0" w:color="auto"/>
            <w:bottom w:val="none" w:sz="0" w:space="0" w:color="auto"/>
            <w:right w:val="none" w:sz="0" w:space="0" w:color="auto"/>
          </w:divBdr>
        </w:div>
        <w:div w:id="744455050">
          <w:marLeft w:val="0"/>
          <w:marRight w:val="0"/>
          <w:marTop w:val="0"/>
          <w:marBottom w:val="0"/>
          <w:divBdr>
            <w:top w:val="none" w:sz="0" w:space="0" w:color="auto"/>
            <w:left w:val="none" w:sz="0" w:space="0" w:color="auto"/>
            <w:bottom w:val="none" w:sz="0" w:space="0" w:color="auto"/>
            <w:right w:val="none" w:sz="0" w:space="0" w:color="auto"/>
          </w:divBdr>
        </w:div>
        <w:div w:id="760562323">
          <w:marLeft w:val="0"/>
          <w:marRight w:val="0"/>
          <w:marTop w:val="0"/>
          <w:marBottom w:val="0"/>
          <w:divBdr>
            <w:top w:val="none" w:sz="0" w:space="0" w:color="auto"/>
            <w:left w:val="none" w:sz="0" w:space="0" w:color="auto"/>
            <w:bottom w:val="none" w:sz="0" w:space="0" w:color="auto"/>
            <w:right w:val="none" w:sz="0" w:space="0" w:color="auto"/>
          </w:divBdr>
        </w:div>
        <w:div w:id="770127430">
          <w:marLeft w:val="0"/>
          <w:marRight w:val="0"/>
          <w:marTop w:val="0"/>
          <w:marBottom w:val="0"/>
          <w:divBdr>
            <w:top w:val="none" w:sz="0" w:space="0" w:color="auto"/>
            <w:left w:val="none" w:sz="0" w:space="0" w:color="auto"/>
            <w:bottom w:val="none" w:sz="0" w:space="0" w:color="auto"/>
            <w:right w:val="none" w:sz="0" w:space="0" w:color="auto"/>
          </w:divBdr>
        </w:div>
        <w:div w:id="800804109">
          <w:marLeft w:val="0"/>
          <w:marRight w:val="0"/>
          <w:marTop w:val="0"/>
          <w:marBottom w:val="0"/>
          <w:divBdr>
            <w:top w:val="none" w:sz="0" w:space="0" w:color="auto"/>
            <w:left w:val="none" w:sz="0" w:space="0" w:color="auto"/>
            <w:bottom w:val="none" w:sz="0" w:space="0" w:color="auto"/>
            <w:right w:val="none" w:sz="0" w:space="0" w:color="auto"/>
          </w:divBdr>
        </w:div>
        <w:div w:id="823545490">
          <w:marLeft w:val="0"/>
          <w:marRight w:val="0"/>
          <w:marTop w:val="0"/>
          <w:marBottom w:val="0"/>
          <w:divBdr>
            <w:top w:val="none" w:sz="0" w:space="0" w:color="auto"/>
            <w:left w:val="none" w:sz="0" w:space="0" w:color="auto"/>
            <w:bottom w:val="none" w:sz="0" w:space="0" w:color="auto"/>
            <w:right w:val="none" w:sz="0" w:space="0" w:color="auto"/>
          </w:divBdr>
        </w:div>
        <w:div w:id="851455560">
          <w:marLeft w:val="0"/>
          <w:marRight w:val="0"/>
          <w:marTop w:val="0"/>
          <w:marBottom w:val="0"/>
          <w:divBdr>
            <w:top w:val="none" w:sz="0" w:space="0" w:color="auto"/>
            <w:left w:val="none" w:sz="0" w:space="0" w:color="auto"/>
            <w:bottom w:val="none" w:sz="0" w:space="0" w:color="auto"/>
            <w:right w:val="none" w:sz="0" w:space="0" w:color="auto"/>
          </w:divBdr>
        </w:div>
        <w:div w:id="896235984">
          <w:marLeft w:val="0"/>
          <w:marRight w:val="0"/>
          <w:marTop w:val="0"/>
          <w:marBottom w:val="0"/>
          <w:divBdr>
            <w:top w:val="none" w:sz="0" w:space="0" w:color="auto"/>
            <w:left w:val="none" w:sz="0" w:space="0" w:color="auto"/>
            <w:bottom w:val="none" w:sz="0" w:space="0" w:color="auto"/>
            <w:right w:val="none" w:sz="0" w:space="0" w:color="auto"/>
          </w:divBdr>
        </w:div>
        <w:div w:id="934944782">
          <w:marLeft w:val="0"/>
          <w:marRight w:val="0"/>
          <w:marTop w:val="0"/>
          <w:marBottom w:val="0"/>
          <w:divBdr>
            <w:top w:val="none" w:sz="0" w:space="0" w:color="auto"/>
            <w:left w:val="none" w:sz="0" w:space="0" w:color="auto"/>
            <w:bottom w:val="none" w:sz="0" w:space="0" w:color="auto"/>
            <w:right w:val="none" w:sz="0" w:space="0" w:color="auto"/>
          </w:divBdr>
        </w:div>
        <w:div w:id="986474572">
          <w:marLeft w:val="0"/>
          <w:marRight w:val="0"/>
          <w:marTop w:val="0"/>
          <w:marBottom w:val="0"/>
          <w:divBdr>
            <w:top w:val="none" w:sz="0" w:space="0" w:color="auto"/>
            <w:left w:val="none" w:sz="0" w:space="0" w:color="auto"/>
            <w:bottom w:val="none" w:sz="0" w:space="0" w:color="auto"/>
            <w:right w:val="none" w:sz="0" w:space="0" w:color="auto"/>
          </w:divBdr>
        </w:div>
        <w:div w:id="1047412701">
          <w:marLeft w:val="0"/>
          <w:marRight w:val="0"/>
          <w:marTop w:val="0"/>
          <w:marBottom w:val="0"/>
          <w:divBdr>
            <w:top w:val="none" w:sz="0" w:space="0" w:color="auto"/>
            <w:left w:val="none" w:sz="0" w:space="0" w:color="auto"/>
            <w:bottom w:val="none" w:sz="0" w:space="0" w:color="auto"/>
            <w:right w:val="none" w:sz="0" w:space="0" w:color="auto"/>
          </w:divBdr>
        </w:div>
        <w:div w:id="1069158492">
          <w:marLeft w:val="0"/>
          <w:marRight w:val="0"/>
          <w:marTop w:val="0"/>
          <w:marBottom w:val="0"/>
          <w:divBdr>
            <w:top w:val="none" w:sz="0" w:space="0" w:color="auto"/>
            <w:left w:val="none" w:sz="0" w:space="0" w:color="auto"/>
            <w:bottom w:val="none" w:sz="0" w:space="0" w:color="auto"/>
            <w:right w:val="none" w:sz="0" w:space="0" w:color="auto"/>
          </w:divBdr>
        </w:div>
        <w:div w:id="1096513186">
          <w:marLeft w:val="0"/>
          <w:marRight w:val="0"/>
          <w:marTop w:val="0"/>
          <w:marBottom w:val="0"/>
          <w:divBdr>
            <w:top w:val="none" w:sz="0" w:space="0" w:color="auto"/>
            <w:left w:val="none" w:sz="0" w:space="0" w:color="auto"/>
            <w:bottom w:val="none" w:sz="0" w:space="0" w:color="auto"/>
            <w:right w:val="none" w:sz="0" w:space="0" w:color="auto"/>
          </w:divBdr>
        </w:div>
        <w:div w:id="1140339194">
          <w:marLeft w:val="0"/>
          <w:marRight w:val="0"/>
          <w:marTop w:val="0"/>
          <w:marBottom w:val="0"/>
          <w:divBdr>
            <w:top w:val="none" w:sz="0" w:space="0" w:color="auto"/>
            <w:left w:val="none" w:sz="0" w:space="0" w:color="auto"/>
            <w:bottom w:val="none" w:sz="0" w:space="0" w:color="auto"/>
            <w:right w:val="none" w:sz="0" w:space="0" w:color="auto"/>
          </w:divBdr>
        </w:div>
        <w:div w:id="1190529306">
          <w:marLeft w:val="0"/>
          <w:marRight w:val="0"/>
          <w:marTop w:val="0"/>
          <w:marBottom w:val="0"/>
          <w:divBdr>
            <w:top w:val="none" w:sz="0" w:space="0" w:color="auto"/>
            <w:left w:val="none" w:sz="0" w:space="0" w:color="auto"/>
            <w:bottom w:val="none" w:sz="0" w:space="0" w:color="auto"/>
            <w:right w:val="none" w:sz="0" w:space="0" w:color="auto"/>
          </w:divBdr>
        </w:div>
        <w:div w:id="1210075814">
          <w:marLeft w:val="0"/>
          <w:marRight w:val="0"/>
          <w:marTop w:val="0"/>
          <w:marBottom w:val="0"/>
          <w:divBdr>
            <w:top w:val="none" w:sz="0" w:space="0" w:color="auto"/>
            <w:left w:val="none" w:sz="0" w:space="0" w:color="auto"/>
            <w:bottom w:val="none" w:sz="0" w:space="0" w:color="auto"/>
            <w:right w:val="none" w:sz="0" w:space="0" w:color="auto"/>
          </w:divBdr>
        </w:div>
        <w:div w:id="1235239540">
          <w:marLeft w:val="0"/>
          <w:marRight w:val="0"/>
          <w:marTop w:val="0"/>
          <w:marBottom w:val="0"/>
          <w:divBdr>
            <w:top w:val="none" w:sz="0" w:space="0" w:color="auto"/>
            <w:left w:val="none" w:sz="0" w:space="0" w:color="auto"/>
            <w:bottom w:val="none" w:sz="0" w:space="0" w:color="auto"/>
            <w:right w:val="none" w:sz="0" w:space="0" w:color="auto"/>
          </w:divBdr>
        </w:div>
        <w:div w:id="1244991045">
          <w:marLeft w:val="0"/>
          <w:marRight w:val="0"/>
          <w:marTop w:val="0"/>
          <w:marBottom w:val="0"/>
          <w:divBdr>
            <w:top w:val="none" w:sz="0" w:space="0" w:color="auto"/>
            <w:left w:val="none" w:sz="0" w:space="0" w:color="auto"/>
            <w:bottom w:val="none" w:sz="0" w:space="0" w:color="auto"/>
            <w:right w:val="none" w:sz="0" w:space="0" w:color="auto"/>
          </w:divBdr>
        </w:div>
        <w:div w:id="1334068072">
          <w:marLeft w:val="0"/>
          <w:marRight w:val="0"/>
          <w:marTop w:val="0"/>
          <w:marBottom w:val="0"/>
          <w:divBdr>
            <w:top w:val="none" w:sz="0" w:space="0" w:color="auto"/>
            <w:left w:val="none" w:sz="0" w:space="0" w:color="auto"/>
            <w:bottom w:val="none" w:sz="0" w:space="0" w:color="auto"/>
            <w:right w:val="none" w:sz="0" w:space="0" w:color="auto"/>
          </w:divBdr>
        </w:div>
        <w:div w:id="1359938293">
          <w:marLeft w:val="0"/>
          <w:marRight w:val="0"/>
          <w:marTop w:val="0"/>
          <w:marBottom w:val="0"/>
          <w:divBdr>
            <w:top w:val="none" w:sz="0" w:space="0" w:color="auto"/>
            <w:left w:val="none" w:sz="0" w:space="0" w:color="auto"/>
            <w:bottom w:val="none" w:sz="0" w:space="0" w:color="auto"/>
            <w:right w:val="none" w:sz="0" w:space="0" w:color="auto"/>
          </w:divBdr>
        </w:div>
        <w:div w:id="1413745445">
          <w:marLeft w:val="0"/>
          <w:marRight w:val="0"/>
          <w:marTop w:val="0"/>
          <w:marBottom w:val="0"/>
          <w:divBdr>
            <w:top w:val="none" w:sz="0" w:space="0" w:color="auto"/>
            <w:left w:val="none" w:sz="0" w:space="0" w:color="auto"/>
            <w:bottom w:val="none" w:sz="0" w:space="0" w:color="auto"/>
            <w:right w:val="none" w:sz="0" w:space="0" w:color="auto"/>
          </w:divBdr>
        </w:div>
        <w:div w:id="1418330930">
          <w:marLeft w:val="0"/>
          <w:marRight w:val="0"/>
          <w:marTop w:val="0"/>
          <w:marBottom w:val="0"/>
          <w:divBdr>
            <w:top w:val="none" w:sz="0" w:space="0" w:color="auto"/>
            <w:left w:val="none" w:sz="0" w:space="0" w:color="auto"/>
            <w:bottom w:val="none" w:sz="0" w:space="0" w:color="auto"/>
            <w:right w:val="none" w:sz="0" w:space="0" w:color="auto"/>
          </w:divBdr>
        </w:div>
        <w:div w:id="1453983215">
          <w:marLeft w:val="0"/>
          <w:marRight w:val="0"/>
          <w:marTop w:val="0"/>
          <w:marBottom w:val="0"/>
          <w:divBdr>
            <w:top w:val="none" w:sz="0" w:space="0" w:color="auto"/>
            <w:left w:val="none" w:sz="0" w:space="0" w:color="auto"/>
            <w:bottom w:val="none" w:sz="0" w:space="0" w:color="auto"/>
            <w:right w:val="none" w:sz="0" w:space="0" w:color="auto"/>
          </w:divBdr>
        </w:div>
        <w:div w:id="1467507340">
          <w:marLeft w:val="0"/>
          <w:marRight w:val="0"/>
          <w:marTop w:val="0"/>
          <w:marBottom w:val="0"/>
          <w:divBdr>
            <w:top w:val="none" w:sz="0" w:space="0" w:color="auto"/>
            <w:left w:val="none" w:sz="0" w:space="0" w:color="auto"/>
            <w:bottom w:val="none" w:sz="0" w:space="0" w:color="auto"/>
            <w:right w:val="none" w:sz="0" w:space="0" w:color="auto"/>
          </w:divBdr>
        </w:div>
        <w:div w:id="1584610801">
          <w:marLeft w:val="0"/>
          <w:marRight w:val="0"/>
          <w:marTop w:val="0"/>
          <w:marBottom w:val="0"/>
          <w:divBdr>
            <w:top w:val="none" w:sz="0" w:space="0" w:color="auto"/>
            <w:left w:val="none" w:sz="0" w:space="0" w:color="auto"/>
            <w:bottom w:val="none" w:sz="0" w:space="0" w:color="auto"/>
            <w:right w:val="none" w:sz="0" w:space="0" w:color="auto"/>
          </w:divBdr>
        </w:div>
        <w:div w:id="1605843025">
          <w:marLeft w:val="0"/>
          <w:marRight w:val="0"/>
          <w:marTop w:val="0"/>
          <w:marBottom w:val="0"/>
          <w:divBdr>
            <w:top w:val="none" w:sz="0" w:space="0" w:color="auto"/>
            <w:left w:val="none" w:sz="0" w:space="0" w:color="auto"/>
            <w:bottom w:val="none" w:sz="0" w:space="0" w:color="auto"/>
            <w:right w:val="none" w:sz="0" w:space="0" w:color="auto"/>
          </w:divBdr>
        </w:div>
        <w:div w:id="1668709653">
          <w:marLeft w:val="0"/>
          <w:marRight w:val="0"/>
          <w:marTop w:val="0"/>
          <w:marBottom w:val="0"/>
          <w:divBdr>
            <w:top w:val="none" w:sz="0" w:space="0" w:color="auto"/>
            <w:left w:val="none" w:sz="0" w:space="0" w:color="auto"/>
            <w:bottom w:val="none" w:sz="0" w:space="0" w:color="auto"/>
            <w:right w:val="none" w:sz="0" w:space="0" w:color="auto"/>
          </w:divBdr>
        </w:div>
        <w:div w:id="1679692815">
          <w:marLeft w:val="0"/>
          <w:marRight w:val="0"/>
          <w:marTop w:val="0"/>
          <w:marBottom w:val="0"/>
          <w:divBdr>
            <w:top w:val="none" w:sz="0" w:space="0" w:color="auto"/>
            <w:left w:val="none" w:sz="0" w:space="0" w:color="auto"/>
            <w:bottom w:val="none" w:sz="0" w:space="0" w:color="auto"/>
            <w:right w:val="none" w:sz="0" w:space="0" w:color="auto"/>
          </w:divBdr>
        </w:div>
        <w:div w:id="1769080509">
          <w:marLeft w:val="0"/>
          <w:marRight w:val="0"/>
          <w:marTop w:val="0"/>
          <w:marBottom w:val="0"/>
          <w:divBdr>
            <w:top w:val="none" w:sz="0" w:space="0" w:color="auto"/>
            <w:left w:val="none" w:sz="0" w:space="0" w:color="auto"/>
            <w:bottom w:val="none" w:sz="0" w:space="0" w:color="auto"/>
            <w:right w:val="none" w:sz="0" w:space="0" w:color="auto"/>
          </w:divBdr>
        </w:div>
        <w:div w:id="1783839587">
          <w:marLeft w:val="0"/>
          <w:marRight w:val="0"/>
          <w:marTop w:val="0"/>
          <w:marBottom w:val="0"/>
          <w:divBdr>
            <w:top w:val="none" w:sz="0" w:space="0" w:color="auto"/>
            <w:left w:val="none" w:sz="0" w:space="0" w:color="auto"/>
            <w:bottom w:val="none" w:sz="0" w:space="0" w:color="auto"/>
            <w:right w:val="none" w:sz="0" w:space="0" w:color="auto"/>
          </w:divBdr>
        </w:div>
        <w:div w:id="1787045635">
          <w:marLeft w:val="0"/>
          <w:marRight w:val="0"/>
          <w:marTop w:val="0"/>
          <w:marBottom w:val="0"/>
          <w:divBdr>
            <w:top w:val="none" w:sz="0" w:space="0" w:color="auto"/>
            <w:left w:val="none" w:sz="0" w:space="0" w:color="auto"/>
            <w:bottom w:val="none" w:sz="0" w:space="0" w:color="auto"/>
            <w:right w:val="none" w:sz="0" w:space="0" w:color="auto"/>
          </w:divBdr>
        </w:div>
        <w:div w:id="1793282519">
          <w:marLeft w:val="0"/>
          <w:marRight w:val="0"/>
          <w:marTop w:val="0"/>
          <w:marBottom w:val="0"/>
          <w:divBdr>
            <w:top w:val="none" w:sz="0" w:space="0" w:color="auto"/>
            <w:left w:val="none" w:sz="0" w:space="0" w:color="auto"/>
            <w:bottom w:val="none" w:sz="0" w:space="0" w:color="auto"/>
            <w:right w:val="none" w:sz="0" w:space="0" w:color="auto"/>
          </w:divBdr>
        </w:div>
        <w:div w:id="1826971284">
          <w:marLeft w:val="0"/>
          <w:marRight w:val="0"/>
          <w:marTop w:val="0"/>
          <w:marBottom w:val="0"/>
          <w:divBdr>
            <w:top w:val="none" w:sz="0" w:space="0" w:color="auto"/>
            <w:left w:val="none" w:sz="0" w:space="0" w:color="auto"/>
            <w:bottom w:val="none" w:sz="0" w:space="0" w:color="auto"/>
            <w:right w:val="none" w:sz="0" w:space="0" w:color="auto"/>
          </w:divBdr>
        </w:div>
        <w:div w:id="1828740533">
          <w:marLeft w:val="0"/>
          <w:marRight w:val="0"/>
          <w:marTop w:val="0"/>
          <w:marBottom w:val="0"/>
          <w:divBdr>
            <w:top w:val="none" w:sz="0" w:space="0" w:color="auto"/>
            <w:left w:val="none" w:sz="0" w:space="0" w:color="auto"/>
            <w:bottom w:val="none" w:sz="0" w:space="0" w:color="auto"/>
            <w:right w:val="none" w:sz="0" w:space="0" w:color="auto"/>
          </w:divBdr>
        </w:div>
        <w:div w:id="2138643553">
          <w:marLeft w:val="0"/>
          <w:marRight w:val="0"/>
          <w:marTop w:val="0"/>
          <w:marBottom w:val="0"/>
          <w:divBdr>
            <w:top w:val="none" w:sz="0" w:space="0" w:color="auto"/>
            <w:left w:val="none" w:sz="0" w:space="0" w:color="auto"/>
            <w:bottom w:val="none" w:sz="0" w:space="0" w:color="auto"/>
            <w:right w:val="none" w:sz="0" w:space="0" w:color="auto"/>
          </w:divBdr>
        </w:div>
        <w:div w:id="2144811129">
          <w:marLeft w:val="0"/>
          <w:marRight w:val="0"/>
          <w:marTop w:val="0"/>
          <w:marBottom w:val="0"/>
          <w:divBdr>
            <w:top w:val="none" w:sz="0" w:space="0" w:color="auto"/>
            <w:left w:val="none" w:sz="0" w:space="0" w:color="auto"/>
            <w:bottom w:val="none" w:sz="0" w:space="0" w:color="auto"/>
            <w:right w:val="none" w:sz="0" w:space="0" w:color="auto"/>
          </w:divBdr>
        </w:div>
      </w:divsChild>
    </w:div>
    <w:div w:id="698358140">
      <w:bodyDiv w:val="1"/>
      <w:marLeft w:val="0"/>
      <w:marRight w:val="0"/>
      <w:marTop w:val="0"/>
      <w:marBottom w:val="0"/>
      <w:divBdr>
        <w:top w:val="none" w:sz="0" w:space="0" w:color="auto"/>
        <w:left w:val="none" w:sz="0" w:space="0" w:color="auto"/>
        <w:bottom w:val="none" w:sz="0" w:space="0" w:color="auto"/>
        <w:right w:val="none" w:sz="0" w:space="0" w:color="auto"/>
      </w:divBdr>
    </w:div>
    <w:div w:id="728920368">
      <w:bodyDiv w:val="1"/>
      <w:marLeft w:val="0"/>
      <w:marRight w:val="0"/>
      <w:marTop w:val="0"/>
      <w:marBottom w:val="0"/>
      <w:divBdr>
        <w:top w:val="none" w:sz="0" w:space="0" w:color="auto"/>
        <w:left w:val="none" w:sz="0" w:space="0" w:color="auto"/>
        <w:bottom w:val="none" w:sz="0" w:space="0" w:color="auto"/>
        <w:right w:val="none" w:sz="0" w:space="0" w:color="auto"/>
      </w:divBdr>
    </w:div>
    <w:div w:id="754546878">
      <w:bodyDiv w:val="1"/>
      <w:marLeft w:val="0"/>
      <w:marRight w:val="0"/>
      <w:marTop w:val="0"/>
      <w:marBottom w:val="0"/>
      <w:divBdr>
        <w:top w:val="none" w:sz="0" w:space="0" w:color="auto"/>
        <w:left w:val="none" w:sz="0" w:space="0" w:color="auto"/>
        <w:bottom w:val="none" w:sz="0" w:space="0" w:color="auto"/>
        <w:right w:val="none" w:sz="0" w:space="0" w:color="auto"/>
      </w:divBdr>
      <w:divsChild>
        <w:div w:id="107353314">
          <w:marLeft w:val="0"/>
          <w:marRight w:val="0"/>
          <w:marTop w:val="0"/>
          <w:marBottom w:val="0"/>
          <w:divBdr>
            <w:top w:val="none" w:sz="0" w:space="0" w:color="auto"/>
            <w:left w:val="none" w:sz="0" w:space="0" w:color="auto"/>
            <w:bottom w:val="none" w:sz="0" w:space="0" w:color="auto"/>
            <w:right w:val="none" w:sz="0" w:space="0" w:color="auto"/>
          </w:divBdr>
        </w:div>
        <w:div w:id="764036106">
          <w:marLeft w:val="0"/>
          <w:marRight w:val="0"/>
          <w:marTop w:val="0"/>
          <w:marBottom w:val="0"/>
          <w:divBdr>
            <w:top w:val="none" w:sz="0" w:space="0" w:color="auto"/>
            <w:left w:val="none" w:sz="0" w:space="0" w:color="auto"/>
            <w:bottom w:val="none" w:sz="0" w:space="0" w:color="auto"/>
            <w:right w:val="none" w:sz="0" w:space="0" w:color="auto"/>
          </w:divBdr>
        </w:div>
        <w:div w:id="1336685688">
          <w:marLeft w:val="0"/>
          <w:marRight w:val="0"/>
          <w:marTop w:val="0"/>
          <w:marBottom w:val="0"/>
          <w:divBdr>
            <w:top w:val="none" w:sz="0" w:space="0" w:color="auto"/>
            <w:left w:val="none" w:sz="0" w:space="0" w:color="auto"/>
            <w:bottom w:val="none" w:sz="0" w:space="0" w:color="auto"/>
            <w:right w:val="none" w:sz="0" w:space="0" w:color="auto"/>
          </w:divBdr>
        </w:div>
        <w:div w:id="1492451749">
          <w:marLeft w:val="0"/>
          <w:marRight w:val="0"/>
          <w:marTop w:val="0"/>
          <w:marBottom w:val="0"/>
          <w:divBdr>
            <w:top w:val="none" w:sz="0" w:space="0" w:color="auto"/>
            <w:left w:val="none" w:sz="0" w:space="0" w:color="auto"/>
            <w:bottom w:val="none" w:sz="0" w:space="0" w:color="auto"/>
            <w:right w:val="none" w:sz="0" w:space="0" w:color="auto"/>
          </w:divBdr>
        </w:div>
        <w:div w:id="2060352132">
          <w:marLeft w:val="0"/>
          <w:marRight w:val="0"/>
          <w:marTop w:val="0"/>
          <w:marBottom w:val="0"/>
          <w:divBdr>
            <w:top w:val="none" w:sz="0" w:space="0" w:color="auto"/>
            <w:left w:val="none" w:sz="0" w:space="0" w:color="auto"/>
            <w:bottom w:val="none" w:sz="0" w:space="0" w:color="auto"/>
            <w:right w:val="none" w:sz="0" w:space="0" w:color="auto"/>
          </w:divBdr>
        </w:div>
      </w:divsChild>
    </w:div>
    <w:div w:id="865555826">
      <w:bodyDiv w:val="1"/>
      <w:marLeft w:val="0"/>
      <w:marRight w:val="0"/>
      <w:marTop w:val="0"/>
      <w:marBottom w:val="0"/>
      <w:divBdr>
        <w:top w:val="none" w:sz="0" w:space="0" w:color="auto"/>
        <w:left w:val="none" w:sz="0" w:space="0" w:color="auto"/>
        <w:bottom w:val="none" w:sz="0" w:space="0" w:color="auto"/>
        <w:right w:val="none" w:sz="0" w:space="0" w:color="auto"/>
      </w:divBdr>
      <w:divsChild>
        <w:div w:id="139657941">
          <w:marLeft w:val="0"/>
          <w:marRight w:val="0"/>
          <w:marTop w:val="0"/>
          <w:marBottom w:val="0"/>
          <w:divBdr>
            <w:top w:val="none" w:sz="0" w:space="0" w:color="auto"/>
            <w:left w:val="none" w:sz="0" w:space="0" w:color="auto"/>
            <w:bottom w:val="none" w:sz="0" w:space="0" w:color="auto"/>
            <w:right w:val="none" w:sz="0" w:space="0" w:color="auto"/>
          </w:divBdr>
          <w:divsChild>
            <w:div w:id="16142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5136">
      <w:bodyDiv w:val="1"/>
      <w:marLeft w:val="0"/>
      <w:marRight w:val="0"/>
      <w:marTop w:val="0"/>
      <w:marBottom w:val="0"/>
      <w:divBdr>
        <w:top w:val="none" w:sz="0" w:space="0" w:color="auto"/>
        <w:left w:val="none" w:sz="0" w:space="0" w:color="auto"/>
        <w:bottom w:val="none" w:sz="0" w:space="0" w:color="auto"/>
        <w:right w:val="none" w:sz="0" w:space="0" w:color="auto"/>
      </w:divBdr>
      <w:divsChild>
        <w:div w:id="607395320">
          <w:marLeft w:val="0"/>
          <w:marRight w:val="0"/>
          <w:marTop w:val="0"/>
          <w:marBottom w:val="0"/>
          <w:divBdr>
            <w:top w:val="none" w:sz="0" w:space="0" w:color="auto"/>
            <w:left w:val="none" w:sz="0" w:space="0" w:color="auto"/>
            <w:bottom w:val="none" w:sz="0" w:space="0" w:color="auto"/>
            <w:right w:val="none" w:sz="0" w:space="0" w:color="auto"/>
          </w:divBdr>
        </w:div>
        <w:div w:id="871456447">
          <w:marLeft w:val="0"/>
          <w:marRight w:val="0"/>
          <w:marTop w:val="0"/>
          <w:marBottom w:val="0"/>
          <w:divBdr>
            <w:top w:val="none" w:sz="0" w:space="0" w:color="auto"/>
            <w:left w:val="none" w:sz="0" w:space="0" w:color="auto"/>
            <w:bottom w:val="none" w:sz="0" w:space="0" w:color="auto"/>
            <w:right w:val="none" w:sz="0" w:space="0" w:color="auto"/>
          </w:divBdr>
        </w:div>
        <w:div w:id="1077895069">
          <w:marLeft w:val="0"/>
          <w:marRight w:val="0"/>
          <w:marTop w:val="0"/>
          <w:marBottom w:val="0"/>
          <w:divBdr>
            <w:top w:val="none" w:sz="0" w:space="0" w:color="auto"/>
            <w:left w:val="none" w:sz="0" w:space="0" w:color="auto"/>
            <w:bottom w:val="none" w:sz="0" w:space="0" w:color="auto"/>
            <w:right w:val="none" w:sz="0" w:space="0" w:color="auto"/>
          </w:divBdr>
        </w:div>
        <w:div w:id="1739016262">
          <w:marLeft w:val="0"/>
          <w:marRight w:val="0"/>
          <w:marTop w:val="0"/>
          <w:marBottom w:val="0"/>
          <w:divBdr>
            <w:top w:val="none" w:sz="0" w:space="0" w:color="auto"/>
            <w:left w:val="none" w:sz="0" w:space="0" w:color="auto"/>
            <w:bottom w:val="none" w:sz="0" w:space="0" w:color="auto"/>
            <w:right w:val="none" w:sz="0" w:space="0" w:color="auto"/>
          </w:divBdr>
        </w:div>
      </w:divsChild>
    </w:div>
    <w:div w:id="1091469153">
      <w:bodyDiv w:val="1"/>
      <w:marLeft w:val="0"/>
      <w:marRight w:val="0"/>
      <w:marTop w:val="0"/>
      <w:marBottom w:val="0"/>
      <w:divBdr>
        <w:top w:val="none" w:sz="0" w:space="0" w:color="auto"/>
        <w:left w:val="none" w:sz="0" w:space="0" w:color="auto"/>
        <w:bottom w:val="none" w:sz="0" w:space="0" w:color="auto"/>
        <w:right w:val="none" w:sz="0" w:space="0" w:color="auto"/>
      </w:divBdr>
    </w:div>
    <w:div w:id="1159424979">
      <w:bodyDiv w:val="1"/>
      <w:marLeft w:val="0"/>
      <w:marRight w:val="0"/>
      <w:marTop w:val="0"/>
      <w:marBottom w:val="0"/>
      <w:divBdr>
        <w:top w:val="none" w:sz="0" w:space="0" w:color="auto"/>
        <w:left w:val="none" w:sz="0" w:space="0" w:color="auto"/>
        <w:bottom w:val="none" w:sz="0" w:space="0" w:color="auto"/>
        <w:right w:val="none" w:sz="0" w:space="0" w:color="auto"/>
      </w:divBdr>
      <w:divsChild>
        <w:div w:id="290793807">
          <w:marLeft w:val="0"/>
          <w:marRight w:val="0"/>
          <w:marTop w:val="0"/>
          <w:marBottom w:val="0"/>
          <w:divBdr>
            <w:top w:val="none" w:sz="0" w:space="0" w:color="auto"/>
            <w:left w:val="none" w:sz="0" w:space="0" w:color="auto"/>
            <w:bottom w:val="none" w:sz="0" w:space="0" w:color="auto"/>
            <w:right w:val="none" w:sz="0" w:space="0" w:color="auto"/>
          </w:divBdr>
          <w:divsChild>
            <w:div w:id="1802183499">
              <w:marLeft w:val="0"/>
              <w:marRight w:val="0"/>
              <w:marTop w:val="0"/>
              <w:marBottom w:val="0"/>
              <w:divBdr>
                <w:top w:val="none" w:sz="0" w:space="0" w:color="auto"/>
                <w:left w:val="none" w:sz="0" w:space="0" w:color="auto"/>
                <w:bottom w:val="none" w:sz="0" w:space="0" w:color="auto"/>
                <w:right w:val="none" w:sz="0" w:space="0" w:color="auto"/>
              </w:divBdr>
            </w:div>
          </w:divsChild>
        </w:div>
        <w:div w:id="336689870">
          <w:marLeft w:val="0"/>
          <w:marRight w:val="0"/>
          <w:marTop w:val="0"/>
          <w:marBottom w:val="0"/>
          <w:divBdr>
            <w:top w:val="none" w:sz="0" w:space="0" w:color="auto"/>
            <w:left w:val="none" w:sz="0" w:space="0" w:color="auto"/>
            <w:bottom w:val="none" w:sz="0" w:space="0" w:color="auto"/>
            <w:right w:val="none" w:sz="0" w:space="0" w:color="auto"/>
          </w:divBdr>
          <w:divsChild>
            <w:div w:id="1444154136">
              <w:marLeft w:val="0"/>
              <w:marRight w:val="0"/>
              <w:marTop w:val="0"/>
              <w:marBottom w:val="0"/>
              <w:divBdr>
                <w:top w:val="none" w:sz="0" w:space="0" w:color="auto"/>
                <w:left w:val="none" w:sz="0" w:space="0" w:color="auto"/>
                <w:bottom w:val="none" w:sz="0" w:space="0" w:color="auto"/>
                <w:right w:val="none" w:sz="0" w:space="0" w:color="auto"/>
              </w:divBdr>
            </w:div>
          </w:divsChild>
        </w:div>
        <w:div w:id="1820031293">
          <w:marLeft w:val="0"/>
          <w:marRight w:val="0"/>
          <w:marTop w:val="0"/>
          <w:marBottom w:val="0"/>
          <w:divBdr>
            <w:top w:val="none" w:sz="0" w:space="0" w:color="auto"/>
            <w:left w:val="none" w:sz="0" w:space="0" w:color="auto"/>
            <w:bottom w:val="none" w:sz="0" w:space="0" w:color="auto"/>
            <w:right w:val="none" w:sz="0" w:space="0" w:color="auto"/>
          </w:divBdr>
          <w:divsChild>
            <w:div w:id="12636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8723">
      <w:bodyDiv w:val="1"/>
      <w:marLeft w:val="0"/>
      <w:marRight w:val="0"/>
      <w:marTop w:val="0"/>
      <w:marBottom w:val="0"/>
      <w:divBdr>
        <w:top w:val="none" w:sz="0" w:space="0" w:color="auto"/>
        <w:left w:val="none" w:sz="0" w:space="0" w:color="auto"/>
        <w:bottom w:val="none" w:sz="0" w:space="0" w:color="auto"/>
        <w:right w:val="none" w:sz="0" w:space="0" w:color="auto"/>
      </w:divBdr>
    </w:div>
    <w:div w:id="1508011289">
      <w:bodyDiv w:val="1"/>
      <w:marLeft w:val="0"/>
      <w:marRight w:val="0"/>
      <w:marTop w:val="0"/>
      <w:marBottom w:val="0"/>
      <w:divBdr>
        <w:top w:val="none" w:sz="0" w:space="0" w:color="auto"/>
        <w:left w:val="none" w:sz="0" w:space="0" w:color="auto"/>
        <w:bottom w:val="none" w:sz="0" w:space="0" w:color="auto"/>
        <w:right w:val="none" w:sz="0" w:space="0" w:color="auto"/>
      </w:divBdr>
      <w:divsChild>
        <w:div w:id="116291020">
          <w:marLeft w:val="0"/>
          <w:marRight w:val="0"/>
          <w:marTop w:val="0"/>
          <w:marBottom w:val="0"/>
          <w:divBdr>
            <w:top w:val="none" w:sz="0" w:space="0" w:color="auto"/>
            <w:left w:val="none" w:sz="0" w:space="0" w:color="auto"/>
            <w:bottom w:val="none" w:sz="0" w:space="0" w:color="auto"/>
            <w:right w:val="none" w:sz="0" w:space="0" w:color="auto"/>
          </w:divBdr>
        </w:div>
        <w:div w:id="132526941">
          <w:marLeft w:val="0"/>
          <w:marRight w:val="0"/>
          <w:marTop w:val="0"/>
          <w:marBottom w:val="0"/>
          <w:divBdr>
            <w:top w:val="none" w:sz="0" w:space="0" w:color="auto"/>
            <w:left w:val="none" w:sz="0" w:space="0" w:color="auto"/>
            <w:bottom w:val="none" w:sz="0" w:space="0" w:color="auto"/>
            <w:right w:val="none" w:sz="0" w:space="0" w:color="auto"/>
          </w:divBdr>
        </w:div>
        <w:div w:id="307789448">
          <w:marLeft w:val="0"/>
          <w:marRight w:val="0"/>
          <w:marTop w:val="0"/>
          <w:marBottom w:val="0"/>
          <w:divBdr>
            <w:top w:val="none" w:sz="0" w:space="0" w:color="auto"/>
            <w:left w:val="none" w:sz="0" w:space="0" w:color="auto"/>
            <w:bottom w:val="none" w:sz="0" w:space="0" w:color="auto"/>
            <w:right w:val="none" w:sz="0" w:space="0" w:color="auto"/>
          </w:divBdr>
        </w:div>
        <w:div w:id="463886514">
          <w:marLeft w:val="0"/>
          <w:marRight w:val="0"/>
          <w:marTop w:val="0"/>
          <w:marBottom w:val="0"/>
          <w:divBdr>
            <w:top w:val="none" w:sz="0" w:space="0" w:color="auto"/>
            <w:left w:val="none" w:sz="0" w:space="0" w:color="auto"/>
            <w:bottom w:val="none" w:sz="0" w:space="0" w:color="auto"/>
            <w:right w:val="none" w:sz="0" w:space="0" w:color="auto"/>
          </w:divBdr>
        </w:div>
        <w:div w:id="1330402495">
          <w:marLeft w:val="0"/>
          <w:marRight w:val="0"/>
          <w:marTop w:val="0"/>
          <w:marBottom w:val="0"/>
          <w:divBdr>
            <w:top w:val="none" w:sz="0" w:space="0" w:color="auto"/>
            <w:left w:val="none" w:sz="0" w:space="0" w:color="auto"/>
            <w:bottom w:val="none" w:sz="0" w:space="0" w:color="auto"/>
            <w:right w:val="none" w:sz="0" w:space="0" w:color="auto"/>
          </w:divBdr>
        </w:div>
        <w:div w:id="1396078568">
          <w:marLeft w:val="0"/>
          <w:marRight w:val="0"/>
          <w:marTop w:val="0"/>
          <w:marBottom w:val="0"/>
          <w:divBdr>
            <w:top w:val="none" w:sz="0" w:space="0" w:color="auto"/>
            <w:left w:val="none" w:sz="0" w:space="0" w:color="auto"/>
            <w:bottom w:val="none" w:sz="0" w:space="0" w:color="auto"/>
            <w:right w:val="none" w:sz="0" w:space="0" w:color="auto"/>
          </w:divBdr>
        </w:div>
        <w:div w:id="1433545838">
          <w:marLeft w:val="0"/>
          <w:marRight w:val="0"/>
          <w:marTop w:val="0"/>
          <w:marBottom w:val="0"/>
          <w:divBdr>
            <w:top w:val="none" w:sz="0" w:space="0" w:color="auto"/>
            <w:left w:val="none" w:sz="0" w:space="0" w:color="auto"/>
            <w:bottom w:val="none" w:sz="0" w:space="0" w:color="auto"/>
            <w:right w:val="none" w:sz="0" w:space="0" w:color="auto"/>
          </w:divBdr>
        </w:div>
        <w:div w:id="1481994720">
          <w:marLeft w:val="0"/>
          <w:marRight w:val="0"/>
          <w:marTop w:val="0"/>
          <w:marBottom w:val="0"/>
          <w:divBdr>
            <w:top w:val="none" w:sz="0" w:space="0" w:color="auto"/>
            <w:left w:val="none" w:sz="0" w:space="0" w:color="auto"/>
            <w:bottom w:val="none" w:sz="0" w:space="0" w:color="auto"/>
            <w:right w:val="none" w:sz="0" w:space="0" w:color="auto"/>
          </w:divBdr>
        </w:div>
        <w:div w:id="1501969231">
          <w:marLeft w:val="0"/>
          <w:marRight w:val="0"/>
          <w:marTop w:val="0"/>
          <w:marBottom w:val="0"/>
          <w:divBdr>
            <w:top w:val="none" w:sz="0" w:space="0" w:color="auto"/>
            <w:left w:val="none" w:sz="0" w:space="0" w:color="auto"/>
            <w:bottom w:val="none" w:sz="0" w:space="0" w:color="auto"/>
            <w:right w:val="none" w:sz="0" w:space="0" w:color="auto"/>
          </w:divBdr>
        </w:div>
      </w:divsChild>
    </w:div>
    <w:div w:id="1816484220">
      <w:bodyDiv w:val="1"/>
      <w:marLeft w:val="0"/>
      <w:marRight w:val="0"/>
      <w:marTop w:val="0"/>
      <w:marBottom w:val="0"/>
      <w:divBdr>
        <w:top w:val="none" w:sz="0" w:space="0" w:color="auto"/>
        <w:left w:val="none" w:sz="0" w:space="0" w:color="auto"/>
        <w:bottom w:val="none" w:sz="0" w:space="0" w:color="auto"/>
        <w:right w:val="none" w:sz="0" w:space="0" w:color="auto"/>
      </w:divBdr>
      <w:divsChild>
        <w:div w:id="665480085">
          <w:marLeft w:val="0"/>
          <w:marRight w:val="0"/>
          <w:marTop w:val="0"/>
          <w:marBottom w:val="0"/>
          <w:divBdr>
            <w:top w:val="none" w:sz="0" w:space="0" w:color="auto"/>
            <w:left w:val="none" w:sz="0" w:space="0" w:color="auto"/>
            <w:bottom w:val="none" w:sz="0" w:space="0" w:color="auto"/>
            <w:right w:val="none" w:sz="0" w:space="0" w:color="auto"/>
          </w:divBdr>
        </w:div>
        <w:div w:id="1784303673">
          <w:marLeft w:val="0"/>
          <w:marRight w:val="0"/>
          <w:marTop w:val="0"/>
          <w:marBottom w:val="0"/>
          <w:divBdr>
            <w:top w:val="none" w:sz="0" w:space="0" w:color="auto"/>
            <w:left w:val="none" w:sz="0" w:space="0" w:color="auto"/>
            <w:bottom w:val="none" w:sz="0" w:space="0" w:color="auto"/>
            <w:right w:val="none" w:sz="0" w:space="0" w:color="auto"/>
          </w:divBdr>
        </w:div>
      </w:divsChild>
    </w:div>
    <w:div w:id="1972246687">
      <w:bodyDiv w:val="1"/>
      <w:marLeft w:val="0"/>
      <w:marRight w:val="0"/>
      <w:marTop w:val="0"/>
      <w:marBottom w:val="0"/>
      <w:divBdr>
        <w:top w:val="none" w:sz="0" w:space="0" w:color="auto"/>
        <w:left w:val="none" w:sz="0" w:space="0" w:color="auto"/>
        <w:bottom w:val="none" w:sz="0" w:space="0" w:color="auto"/>
        <w:right w:val="none" w:sz="0" w:space="0" w:color="auto"/>
      </w:divBdr>
      <w:divsChild>
        <w:div w:id="478420103">
          <w:marLeft w:val="0"/>
          <w:marRight w:val="0"/>
          <w:marTop w:val="0"/>
          <w:marBottom w:val="0"/>
          <w:divBdr>
            <w:top w:val="none" w:sz="0" w:space="0" w:color="auto"/>
            <w:left w:val="none" w:sz="0" w:space="0" w:color="auto"/>
            <w:bottom w:val="none" w:sz="0" w:space="0" w:color="auto"/>
            <w:right w:val="none" w:sz="0" w:space="0" w:color="auto"/>
          </w:divBdr>
        </w:div>
        <w:div w:id="1930698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_La_Cruz\Templates\ECE+PlainPage\EC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FB3E-95E4-4462-BBC6-FBF636C8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ECE_E</Template>
  <TotalTime>5</TotalTime>
  <Pages>16</Pages>
  <Words>6974</Words>
  <Characters>39752</Characters>
  <Application>Microsoft Office Word</Application>
  <DocSecurity>0</DocSecurity>
  <Lines>331</Lines>
  <Paragraphs>93</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United Nations</vt:lpstr>
      <vt:lpstr>United Nations</vt:lpstr>
      <vt:lpstr>United Nations</vt:lpstr>
    </vt:vector>
  </TitlesOfParts>
  <Company>CSD</Company>
  <LinksUpToDate>false</LinksUpToDate>
  <CharactersWithSpaces>46633</CharactersWithSpaces>
  <SharedDoc>false</SharedDoc>
  <HLinks>
    <vt:vector size="6" baseType="variant">
      <vt:variant>
        <vt:i4>1966173</vt:i4>
      </vt:variant>
      <vt:variant>
        <vt:i4>0</vt:i4>
      </vt:variant>
      <vt:variant>
        <vt:i4>0</vt:i4>
      </vt:variant>
      <vt:variant>
        <vt:i4>5</vt:i4>
      </vt:variant>
      <vt:variant>
        <vt:lpwstr>https://www.autoriteitnvs.nl/actueel/nieuws/2016/04/07/ontwerp-revisievergunning-epz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De_La_Cruz</dc:creator>
  <cp:keywords/>
  <cp:lastModifiedBy>Fiona Marshall</cp:lastModifiedBy>
  <cp:revision>4</cp:revision>
  <cp:lastPrinted>2013-11-16T12:27:00Z</cp:lastPrinted>
  <dcterms:created xsi:type="dcterms:W3CDTF">2018-05-23T10:10:00Z</dcterms:created>
  <dcterms:modified xsi:type="dcterms:W3CDTF">2018-05-25T10:29:00Z</dcterms:modified>
</cp:coreProperties>
</file>